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3B" w:rsidRDefault="000B691D">
      <w:pPr>
        <w:adjustRightInd w:val="0"/>
        <w:snapToGrid w:val="0"/>
        <w:jc w:val="center"/>
        <w:rPr>
          <w:rFonts w:ascii="仿宋" w:eastAsia="仿宋" w:hAnsi="仿宋" w:cs="宋体"/>
          <w:b/>
          <w:color w:val="000000"/>
          <w:kern w:val="0"/>
          <w:sz w:val="44"/>
          <w:szCs w:val="44"/>
        </w:rPr>
      </w:pPr>
      <w:r>
        <w:rPr>
          <w:rFonts w:ascii="仿宋" w:eastAsia="仿宋" w:hAnsi="仿宋" w:hint="eastAsia"/>
          <w:b/>
          <w:sz w:val="44"/>
          <w:szCs w:val="44"/>
        </w:rPr>
        <w:t>苏州城市学院差旅费管理办法</w:t>
      </w:r>
      <w:r w:rsidR="00C63B03" w:rsidRPr="00C63B03">
        <w:rPr>
          <w:rFonts w:ascii="仿宋" w:eastAsia="仿宋" w:hAnsi="仿宋" w:hint="eastAsia"/>
          <w:b/>
          <w:sz w:val="44"/>
          <w:szCs w:val="44"/>
        </w:rPr>
        <w:t>（征求意见稿）</w:t>
      </w:r>
    </w:p>
    <w:p w:rsidR="00CD203B" w:rsidRDefault="00CD203B">
      <w:pPr>
        <w:adjustRightInd w:val="0"/>
        <w:snapToGrid w:val="0"/>
        <w:spacing w:line="360" w:lineRule="auto"/>
        <w:jc w:val="center"/>
        <w:rPr>
          <w:rFonts w:ascii="黑体" w:eastAsia="黑体" w:hAnsi="黑体"/>
          <w:bCs/>
          <w:sz w:val="36"/>
          <w:szCs w:val="36"/>
        </w:rPr>
      </w:pPr>
    </w:p>
    <w:p w:rsidR="00CD203B" w:rsidRDefault="000B691D">
      <w:pPr>
        <w:adjustRightInd w:val="0"/>
        <w:snapToGrid w:val="0"/>
        <w:spacing w:line="360" w:lineRule="auto"/>
        <w:jc w:val="center"/>
        <w:rPr>
          <w:rFonts w:ascii="黑体" w:eastAsia="黑体" w:hAnsi="黑体"/>
          <w:bCs/>
          <w:sz w:val="36"/>
          <w:szCs w:val="36"/>
        </w:rPr>
      </w:pPr>
      <w:r>
        <w:rPr>
          <w:rFonts w:ascii="黑体" w:eastAsia="黑体" w:hAnsi="黑体" w:hint="eastAsia"/>
          <w:bCs/>
          <w:sz w:val="36"/>
          <w:szCs w:val="36"/>
        </w:rPr>
        <w:t>第一章</w:t>
      </w:r>
      <w:r>
        <w:rPr>
          <w:rFonts w:ascii="黑体" w:eastAsia="黑体" w:hAnsi="黑体" w:hint="eastAsia"/>
          <w:bCs/>
          <w:sz w:val="36"/>
          <w:szCs w:val="36"/>
        </w:rPr>
        <w:t xml:space="preserve">  </w:t>
      </w:r>
      <w:r>
        <w:rPr>
          <w:rFonts w:ascii="黑体" w:eastAsia="黑体" w:hAnsi="黑体" w:hint="eastAsia"/>
          <w:bCs/>
          <w:sz w:val="36"/>
          <w:szCs w:val="36"/>
        </w:rPr>
        <w:t>总</w:t>
      </w:r>
      <w:r>
        <w:rPr>
          <w:rFonts w:ascii="黑体" w:eastAsia="黑体" w:hAnsi="黑体" w:hint="eastAsia"/>
          <w:bCs/>
          <w:sz w:val="36"/>
          <w:szCs w:val="36"/>
        </w:rPr>
        <w:t xml:space="preserve"> </w:t>
      </w:r>
      <w:r>
        <w:rPr>
          <w:rFonts w:ascii="黑体" w:eastAsia="黑体" w:hAnsi="黑体" w:hint="eastAsia"/>
          <w:bCs/>
          <w:sz w:val="36"/>
          <w:szCs w:val="36"/>
        </w:rPr>
        <w:t>则</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第一条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为加强和规范学校国内差旅费管理，根据</w:t>
      </w:r>
      <w:r>
        <w:rPr>
          <w:rFonts w:ascii="仿宋_GB2312" w:eastAsia="仿宋_GB2312" w:hAnsi="宋体" w:hint="eastAsia"/>
          <w:bCs/>
          <w:sz w:val="32"/>
          <w:szCs w:val="32"/>
        </w:rPr>
        <w:t>《江苏省政府印发关于加快推进产业科技创新中心和创新型省份建设若干政策措施的通知》（苏政发〔</w:t>
      </w:r>
      <w:r>
        <w:rPr>
          <w:rFonts w:ascii="仿宋_GB2312" w:eastAsia="仿宋_GB2312" w:hAnsi="宋体" w:hint="eastAsia"/>
          <w:bCs/>
          <w:sz w:val="32"/>
          <w:szCs w:val="32"/>
        </w:rPr>
        <w:t>2016</w:t>
      </w:r>
      <w:r>
        <w:rPr>
          <w:rFonts w:ascii="仿宋_GB2312" w:eastAsia="仿宋_GB2312" w:hAnsi="宋体" w:hint="eastAsia"/>
          <w:bCs/>
          <w:sz w:val="32"/>
          <w:szCs w:val="32"/>
        </w:rPr>
        <w:t>〕</w:t>
      </w:r>
      <w:r>
        <w:rPr>
          <w:rFonts w:ascii="仿宋_GB2312" w:eastAsia="仿宋_GB2312" w:hAnsi="宋体" w:hint="eastAsia"/>
          <w:bCs/>
          <w:sz w:val="32"/>
          <w:szCs w:val="32"/>
        </w:rPr>
        <w:t>107</w:t>
      </w:r>
      <w:r>
        <w:rPr>
          <w:rFonts w:ascii="仿宋_GB2312" w:eastAsia="仿宋_GB2312" w:hAnsi="宋体" w:hint="eastAsia"/>
          <w:bCs/>
          <w:sz w:val="32"/>
          <w:szCs w:val="32"/>
        </w:rPr>
        <w:t>号），</w:t>
      </w:r>
      <w:r>
        <w:rPr>
          <w:rFonts w:ascii="Times New Roman" w:eastAsia="仿宋_GB2312" w:hAnsi="Times New Roman" w:cs="Times New Roman" w:hint="eastAsia"/>
          <w:spacing w:val="-4"/>
          <w:sz w:val="32"/>
          <w:szCs w:val="24"/>
        </w:rPr>
        <w:t>参照</w:t>
      </w:r>
      <w:bookmarkStart w:id="0" w:name="_GoBack"/>
      <w:bookmarkEnd w:id="0"/>
      <w:r>
        <w:rPr>
          <w:rFonts w:ascii="Times New Roman" w:eastAsia="仿宋_GB2312" w:hAnsi="Times New Roman" w:cs="Times New Roman" w:hint="eastAsia"/>
          <w:spacing w:val="-4"/>
          <w:sz w:val="32"/>
          <w:szCs w:val="24"/>
        </w:rPr>
        <w:t>《关于印发苏州市市级机关差旅费管理办法的通知》（苏财行字〔</w:t>
      </w:r>
      <w:r>
        <w:rPr>
          <w:rFonts w:ascii="Times New Roman" w:eastAsia="仿宋_GB2312" w:hAnsi="Times New Roman" w:cs="Times New Roman" w:hint="eastAsia"/>
          <w:spacing w:val="-4"/>
          <w:sz w:val="32"/>
          <w:szCs w:val="24"/>
        </w:rPr>
        <w:t>2014</w:t>
      </w:r>
      <w:r>
        <w:rPr>
          <w:rFonts w:ascii="Times New Roman" w:eastAsia="仿宋_GB2312" w:hAnsi="Times New Roman" w:cs="Times New Roman" w:hint="eastAsia"/>
          <w:spacing w:val="-4"/>
          <w:sz w:val="32"/>
          <w:szCs w:val="24"/>
        </w:rPr>
        <w:t>〕</w:t>
      </w:r>
      <w:r>
        <w:rPr>
          <w:rFonts w:ascii="Times New Roman" w:eastAsia="仿宋_GB2312" w:hAnsi="Times New Roman" w:cs="Times New Roman" w:hint="eastAsia"/>
          <w:spacing w:val="-4"/>
          <w:sz w:val="32"/>
          <w:szCs w:val="24"/>
        </w:rPr>
        <w:t>19</w:t>
      </w:r>
      <w:r>
        <w:rPr>
          <w:rFonts w:ascii="Times New Roman" w:eastAsia="仿宋_GB2312" w:hAnsi="Times New Roman" w:cs="Times New Roman" w:hint="eastAsia"/>
          <w:spacing w:val="-4"/>
          <w:sz w:val="32"/>
          <w:szCs w:val="24"/>
        </w:rPr>
        <w:t>号）、《关于执行国内差旅住宿费新标准的通知》（苏财行字〔</w:t>
      </w:r>
      <w:r>
        <w:rPr>
          <w:rFonts w:ascii="Times New Roman" w:eastAsia="仿宋_GB2312" w:hAnsi="Times New Roman" w:cs="Times New Roman" w:hint="eastAsia"/>
          <w:spacing w:val="-4"/>
          <w:sz w:val="32"/>
          <w:szCs w:val="24"/>
        </w:rPr>
        <w:t>2017</w:t>
      </w:r>
      <w:r>
        <w:rPr>
          <w:rFonts w:ascii="Times New Roman" w:eastAsia="仿宋_GB2312" w:hAnsi="Times New Roman" w:cs="Times New Roman" w:hint="eastAsia"/>
          <w:spacing w:val="-4"/>
          <w:sz w:val="32"/>
          <w:szCs w:val="24"/>
        </w:rPr>
        <w:t>〕</w:t>
      </w:r>
      <w:r>
        <w:rPr>
          <w:rFonts w:ascii="Times New Roman" w:eastAsia="仿宋_GB2312" w:hAnsi="Times New Roman" w:cs="Times New Roman" w:hint="eastAsia"/>
          <w:spacing w:val="-4"/>
          <w:sz w:val="32"/>
          <w:szCs w:val="24"/>
        </w:rPr>
        <w:t>49</w:t>
      </w:r>
      <w:r>
        <w:rPr>
          <w:rFonts w:ascii="Times New Roman" w:eastAsia="仿宋_GB2312" w:hAnsi="Times New Roman" w:cs="Times New Roman" w:hint="eastAsia"/>
          <w:spacing w:val="-4"/>
          <w:sz w:val="32"/>
          <w:szCs w:val="24"/>
        </w:rPr>
        <w:t>号）等文件精神，结合我校实际情况，制定《苏州城市学院差旅费管理办法》。</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差旅费是指工作人员临时到常驻地</w:t>
      </w: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即行政区划调整后的城区，不含所属县级市，下同</w:t>
      </w: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以外地区公务出差所发生的城市间交通费、住宿费、伙食补助费和市内交通费</w:t>
      </w:r>
      <w:r>
        <w:rPr>
          <w:rFonts w:ascii="Times New Roman" w:eastAsia="仿宋_GB2312" w:hAnsi="Times New Roman" w:cs="Times New Roman" w:hint="eastAsia"/>
          <w:spacing w:val="-4"/>
          <w:sz w:val="32"/>
          <w:szCs w:val="24"/>
        </w:rPr>
        <w:t>等</w:t>
      </w:r>
      <w:r>
        <w:rPr>
          <w:rFonts w:ascii="Times New Roman" w:eastAsia="仿宋_GB2312" w:hAnsi="Times New Roman" w:cs="Times New Roman"/>
          <w:spacing w:val="-4"/>
          <w:sz w:val="32"/>
          <w:szCs w:val="24"/>
        </w:rPr>
        <w:t>。</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为确保出差活动的真实性和相关性，出差应按规定履行审批手续，从严控制出差人数和天数；严格差旅费</w:t>
      </w:r>
      <w:r>
        <w:rPr>
          <w:rFonts w:ascii="Times New Roman" w:eastAsia="仿宋_GB2312" w:hAnsi="Times New Roman" w:cs="Times New Roman" w:hint="eastAsia"/>
          <w:spacing w:val="-4"/>
          <w:sz w:val="32"/>
          <w:szCs w:val="24"/>
        </w:rPr>
        <w:t>预算管理，控制差旅费文出规模；严禁无明确公务目的、无实质内容的差旅活动；严禁以任何名义和方式变相旅游，严禁异地部门间无实质内容的学习交流和考察调研。</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第四条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hint="eastAsia"/>
          <w:spacing w:val="-4"/>
          <w:sz w:val="32"/>
          <w:szCs w:val="24"/>
        </w:rPr>
        <w:t>差旅费管理职责：</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lastRenderedPageBreak/>
        <w:t>出差人是差旅费的直接负责人，对差旅费使用的合规性、合理性、真实性和相关性承担直接责任。出差人应了解并遵守有关财经法律法规和差旅费管理制度，依法、据实报销差旅</w:t>
      </w:r>
      <w:r>
        <w:rPr>
          <w:rFonts w:ascii="Times New Roman" w:eastAsia="仿宋_GB2312" w:hAnsi="Times New Roman" w:cs="Times New Roman" w:hint="eastAsia"/>
          <w:spacing w:val="-4"/>
          <w:sz w:val="32"/>
          <w:szCs w:val="24"/>
        </w:rPr>
        <w:t>费。</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各单位对本单位出差人员和使用本单位经费的出差人员发生的差旅费承担审批和监管责任。各单位应加强本单位差旅费管理，加强政策宣传，督促、审核出差人员合理、合规报销差旅费。</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国有资产与财务管理处负责差旅费的会计核算和财务管理，制定和完善学校差旅费管理办法，依据差旅费管理办法和各单位审批结果，实施差旅费报销管理和服务。</w:t>
      </w:r>
    </w:p>
    <w:p w:rsidR="00CD203B" w:rsidRDefault="00CD203B">
      <w:pPr>
        <w:adjustRightInd w:val="0"/>
        <w:snapToGrid w:val="0"/>
        <w:spacing w:line="360" w:lineRule="auto"/>
        <w:ind w:leftChars="200" w:left="420"/>
        <w:jc w:val="left"/>
        <w:rPr>
          <w:rFonts w:ascii="Times New Roman" w:eastAsia="仿宋_GB2312" w:hAnsi="Times New Roman" w:cs="Times New Roman"/>
          <w:spacing w:val="-4"/>
          <w:sz w:val="32"/>
          <w:szCs w:val="24"/>
        </w:rPr>
      </w:pPr>
    </w:p>
    <w:p w:rsidR="00CD203B" w:rsidRDefault="000B691D">
      <w:pPr>
        <w:adjustRightInd w:val="0"/>
        <w:snapToGrid w:val="0"/>
        <w:spacing w:line="360" w:lineRule="auto"/>
        <w:ind w:leftChars="200" w:left="420"/>
        <w:jc w:val="center"/>
        <w:rPr>
          <w:rFonts w:ascii="Times New Roman" w:eastAsia="仿宋_GB2312" w:hAnsi="Times New Roman" w:cs="Times New Roman"/>
          <w:spacing w:val="-4"/>
          <w:sz w:val="32"/>
          <w:szCs w:val="24"/>
        </w:rPr>
      </w:pPr>
      <w:r>
        <w:rPr>
          <w:rFonts w:ascii="Times New Roman" w:eastAsia="黑体" w:hAnsi="Times New Roman" w:cs="Times New Roman" w:hint="eastAsia"/>
          <w:spacing w:val="-4"/>
          <w:sz w:val="36"/>
          <w:szCs w:val="36"/>
        </w:rPr>
        <w:t>第二章</w:t>
      </w:r>
      <w:r>
        <w:rPr>
          <w:rFonts w:ascii="Times New Roman" w:eastAsia="黑体" w:hAnsi="Times New Roman" w:cs="Times New Roman"/>
          <w:spacing w:val="-4"/>
          <w:sz w:val="36"/>
          <w:szCs w:val="36"/>
        </w:rPr>
        <w:t xml:space="preserve">  </w:t>
      </w:r>
      <w:r>
        <w:rPr>
          <w:rFonts w:ascii="Times New Roman" w:eastAsia="黑体" w:hAnsi="Times New Roman" w:cs="Times New Roman"/>
          <w:spacing w:val="-4"/>
          <w:sz w:val="36"/>
          <w:szCs w:val="36"/>
        </w:rPr>
        <w:t>城市间交通费</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第五条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城市间交通费是指工作人员因公到常驻地以外地区出差乘坐火车、轮船、飞机、客车等交通工具所发生的费用。</w:t>
      </w:r>
    </w:p>
    <w:p w:rsidR="00CD203B" w:rsidRDefault="000B691D">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第六条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出差人员应当按规定等级乘坐交通工具。乘坐交通工具的等级见下表：</w:t>
      </w:r>
    </w:p>
    <w:p w:rsidR="00CD203B" w:rsidRDefault="00CD203B">
      <w:pPr>
        <w:adjustRightInd w:val="0"/>
        <w:snapToGrid w:val="0"/>
        <w:spacing w:line="360" w:lineRule="auto"/>
        <w:ind w:leftChars="200" w:left="420" w:firstLineChars="200" w:firstLine="624"/>
        <w:jc w:val="left"/>
        <w:rPr>
          <w:rFonts w:ascii="Times New Roman" w:eastAsia="仿宋_GB2312" w:hAnsi="Times New Roman" w:cs="Times New Roman"/>
          <w:spacing w:val="-4"/>
          <w:sz w:val="32"/>
          <w:szCs w:val="24"/>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3"/>
        <w:gridCol w:w="3402"/>
        <w:gridCol w:w="1428"/>
        <w:gridCol w:w="850"/>
        <w:gridCol w:w="1691"/>
      </w:tblGrid>
      <w:tr w:rsidR="00CD203B">
        <w:trPr>
          <w:trHeight w:val="1064"/>
          <w:jc w:val="center"/>
        </w:trPr>
        <w:tc>
          <w:tcPr>
            <w:tcW w:w="1833" w:type="dxa"/>
            <w:tcBorders>
              <w:top w:val="single" w:sz="8" w:space="0" w:color="auto"/>
              <w:left w:val="single" w:sz="8" w:space="0" w:color="auto"/>
              <w:tl2br w:val="single" w:sz="4" w:space="0" w:color="auto"/>
            </w:tcBorders>
            <w:vAlign w:val="center"/>
          </w:tcPr>
          <w:p w:rsidR="00CD203B" w:rsidRDefault="000B691D">
            <w:pPr>
              <w:adjustRightInd w:val="0"/>
              <w:snapToGrid w:val="0"/>
              <w:spacing w:line="360" w:lineRule="auto"/>
              <w:jc w:val="right"/>
              <w:rPr>
                <w:rFonts w:ascii="黑体" w:eastAsia="黑体" w:hAnsi="黑体" w:cs="Times New Roman"/>
                <w:spacing w:val="-4"/>
                <w:sz w:val="28"/>
                <w:szCs w:val="28"/>
              </w:rPr>
            </w:pPr>
            <w:r>
              <w:rPr>
                <w:rFonts w:ascii="黑体" w:eastAsia="黑体" w:hAnsi="黑体" w:cs="Times New Roman" w:hint="eastAsia"/>
                <w:spacing w:val="-4"/>
                <w:sz w:val="28"/>
                <w:szCs w:val="28"/>
              </w:rPr>
              <w:lastRenderedPageBreak/>
              <w:t>交通工具</w:t>
            </w:r>
          </w:p>
          <w:p w:rsidR="00CD203B" w:rsidRDefault="00CD203B">
            <w:pPr>
              <w:adjustRightInd w:val="0"/>
              <w:snapToGrid w:val="0"/>
              <w:spacing w:line="360" w:lineRule="auto"/>
              <w:jc w:val="right"/>
              <w:rPr>
                <w:rFonts w:ascii="黑体" w:eastAsia="黑体" w:hAnsi="黑体" w:cs="Times New Roman"/>
                <w:spacing w:val="-4"/>
                <w:sz w:val="28"/>
                <w:szCs w:val="28"/>
              </w:rPr>
            </w:pPr>
          </w:p>
          <w:p w:rsidR="00CD203B" w:rsidRDefault="000B691D">
            <w:pPr>
              <w:adjustRightInd w:val="0"/>
              <w:snapToGrid w:val="0"/>
              <w:spacing w:line="360" w:lineRule="auto"/>
              <w:ind w:right="928"/>
              <w:jc w:val="right"/>
              <w:rPr>
                <w:rFonts w:ascii="黑体" w:eastAsia="黑体" w:hAnsi="黑体" w:cs="Times New Roman"/>
                <w:spacing w:val="-4"/>
                <w:sz w:val="28"/>
                <w:szCs w:val="28"/>
              </w:rPr>
            </w:pPr>
            <w:r>
              <w:rPr>
                <w:rFonts w:ascii="黑体" w:eastAsia="黑体" w:hAnsi="黑体" w:cs="Times New Roman" w:hint="eastAsia"/>
                <w:spacing w:val="-4"/>
                <w:sz w:val="28"/>
                <w:szCs w:val="28"/>
              </w:rPr>
              <w:t>级</w:t>
            </w:r>
            <w:r>
              <w:rPr>
                <w:rFonts w:ascii="黑体" w:eastAsia="黑体" w:hAnsi="黑体" w:cs="Times New Roman" w:hint="eastAsia"/>
                <w:spacing w:val="-4"/>
                <w:sz w:val="28"/>
                <w:szCs w:val="28"/>
              </w:rPr>
              <w:t xml:space="preserve">  </w:t>
            </w:r>
            <w:r>
              <w:rPr>
                <w:rFonts w:ascii="黑体" w:eastAsia="黑体" w:hAnsi="黑体" w:cs="Times New Roman" w:hint="eastAsia"/>
                <w:spacing w:val="-4"/>
                <w:sz w:val="28"/>
                <w:szCs w:val="28"/>
              </w:rPr>
              <w:t>别</w:t>
            </w:r>
          </w:p>
        </w:tc>
        <w:tc>
          <w:tcPr>
            <w:tcW w:w="3402" w:type="dxa"/>
            <w:tcBorders>
              <w:top w:val="single" w:sz="8" w:space="0" w:color="auto"/>
            </w:tcBorders>
            <w:vAlign w:val="center"/>
          </w:tcPr>
          <w:p w:rsidR="00CD203B" w:rsidRDefault="000B691D">
            <w:pPr>
              <w:adjustRightInd w:val="0"/>
              <w:snapToGrid w:val="0"/>
              <w:spacing w:line="360" w:lineRule="auto"/>
              <w:ind w:right="464"/>
              <w:jc w:val="right"/>
              <w:rPr>
                <w:rFonts w:ascii="黑体" w:eastAsia="黑体" w:hAnsi="黑体" w:cs="Times New Roman"/>
                <w:spacing w:val="-4"/>
                <w:sz w:val="28"/>
                <w:szCs w:val="28"/>
              </w:rPr>
            </w:pPr>
            <w:r>
              <w:rPr>
                <w:rFonts w:ascii="黑体" w:eastAsia="黑体" w:hAnsi="黑体" w:cs="Times New Roman" w:hint="eastAsia"/>
                <w:spacing w:val="-4"/>
                <w:sz w:val="28"/>
                <w:szCs w:val="28"/>
              </w:rPr>
              <w:t>火车（含高铁、动车、</w:t>
            </w:r>
          </w:p>
          <w:p w:rsidR="00CD203B" w:rsidRDefault="000B691D">
            <w:pPr>
              <w:adjustRightInd w:val="0"/>
              <w:snapToGrid w:val="0"/>
              <w:spacing w:line="360" w:lineRule="auto"/>
              <w:ind w:right="928"/>
              <w:jc w:val="right"/>
              <w:rPr>
                <w:rFonts w:ascii="黑体" w:eastAsia="黑体" w:hAnsi="黑体" w:cs="Times New Roman"/>
                <w:spacing w:val="-4"/>
                <w:sz w:val="28"/>
                <w:szCs w:val="28"/>
              </w:rPr>
            </w:pPr>
            <w:r>
              <w:rPr>
                <w:rFonts w:ascii="黑体" w:eastAsia="黑体" w:hAnsi="黑体" w:cs="Times New Roman" w:hint="eastAsia"/>
                <w:spacing w:val="-4"/>
                <w:sz w:val="28"/>
                <w:szCs w:val="28"/>
              </w:rPr>
              <w:t>全列软席列车）</w:t>
            </w:r>
          </w:p>
        </w:tc>
        <w:tc>
          <w:tcPr>
            <w:tcW w:w="1428" w:type="dxa"/>
            <w:tcBorders>
              <w:top w:val="single" w:sz="8" w:space="0" w:color="auto"/>
            </w:tcBorders>
            <w:vAlign w:val="center"/>
          </w:tcPr>
          <w:p w:rsidR="00CD203B" w:rsidRDefault="000B691D">
            <w:pPr>
              <w:adjustRightInd w:val="0"/>
              <w:snapToGrid w:val="0"/>
              <w:spacing w:line="360" w:lineRule="auto"/>
              <w:ind w:right="504"/>
              <w:jc w:val="right"/>
              <w:rPr>
                <w:rFonts w:ascii="黑体" w:eastAsia="黑体" w:hAnsi="黑体" w:cs="Times New Roman"/>
                <w:spacing w:val="-4"/>
                <w:sz w:val="28"/>
                <w:szCs w:val="28"/>
              </w:rPr>
            </w:pPr>
            <w:r>
              <w:rPr>
                <w:rFonts w:ascii="黑体" w:eastAsia="黑体" w:hAnsi="黑体" w:cs="Times New Roman" w:hint="eastAsia"/>
                <w:spacing w:val="-4"/>
                <w:sz w:val="28"/>
                <w:szCs w:val="28"/>
              </w:rPr>
              <w:t>轮船</w:t>
            </w:r>
          </w:p>
          <w:p w:rsidR="00CD203B" w:rsidRDefault="000B691D">
            <w:pPr>
              <w:adjustRightInd w:val="0"/>
              <w:snapToGrid w:val="0"/>
              <w:spacing w:line="360" w:lineRule="auto"/>
              <w:jc w:val="right"/>
              <w:rPr>
                <w:rFonts w:ascii="黑体" w:eastAsia="黑体" w:hAnsi="黑体" w:cs="Times New Roman"/>
                <w:spacing w:val="-4"/>
                <w:sz w:val="28"/>
                <w:szCs w:val="28"/>
              </w:rPr>
            </w:pPr>
            <w:r>
              <w:rPr>
                <w:rFonts w:ascii="黑体" w:eastAsia="黑体" w:hAnsi="黑体" w:cs="Times New Roman" w:hint="eastAsia"/>
                <w:spacing w:val="-4"/>
                <w:sz w:val="28"/>
                <w:szCs w:val="28"/>
              </w:rPr>
              <w:t>（不包括</w:t>
            </w:r>
          </w:p>
          <w:p w:rsidR="00CD203B" w:rsidRDefault="000B691D">
            <w:pPr>
              <w:adjustRightInd w:val="0"/>
              <w:snapToGrid w:val="0"/>
              <w:spacing w:line="360" w:lineRule="auto"/>
              <w:jc w:val="right"/>
              <w:rPr>
                <w:rFonts w:ascii="黑体" w:eastAsia="黑体" w:hAnsi="黑体" w:cs="Times New Roman"/>
                <w:spacing w:val="-4"/>
                <w:sz w:val="28"/>
                <w:szCs w:val="28"/>
              </w:rPr>
            </w:pPr>
            <w:r>
              <w:rPr>
                <w:rFonts w:ascii="黑体" w:eastAsia="黑体" w:hAnsi="黑体" w:cs="Times New Roman" w:hint="eastAsia"/>
                <w:spacing w:val="-4"/>
                <w:sz w:val="28"/>
                <w:szCs w:val="28"/>
              </w:rPr>
              <w:t>旅游船）</w:t>
            </w:r>
          </w:p>
        </w:tc>
        <w:tc>
          <w:tcPr>
            <w:tcW w:w="850" w:type="dxa"/>
            <w:tcBorders>
              <w:top w:val="single" w:sz="8" w:space="0" w:color="auto"/>
            </w:tcBorders>
            <w:vAlign w:val="center"/>
          </w:tcPr>
          <w:p w:rsidR="00CD203B" w:rsidRDefault="000B691D">
            <w:pPr>
              <w:adjustRightInd w:val="0"/>
              <w:snapToGrid w:val="0"/>
              <w:spacing w:line="360" w:lineRule="auto"/>
              <w:ind w:right="232"/>
              <w:jc w:val="right"/>
              <w:rPr>
                <w:rFonts w:ascii="黑体" w:eastAsia="黑体" w:hAnsi="黑体" w:cs="Times New Roman"/>
                <w:spacing w:val="-4"/>
                <w:sz w:val="28"/>
                <w:szCs w:val="28"/>
              </w:rPr>
            </w:pPr>
            <w:r>
              <w:rPr>
                <w:rFonts w:ascii="黑体" w:eastAsia="黑体" w:hAnsi="黑体" w:cs="Times New Roman" w:hint="eastAsia"/>
                <w:spacing w:val="-4"/>
                <w:sz w:val="28"/>
                <w:szCs w:val="28"/>
              </w:rPr>
              <w:t>飞机</w:t>
            </w:r>
          </w:p>
        </w:tc>
        <w:tc>
          <w:tcPr>
            <w:tcW w:w="1691" w:type="dxa"/>
            <w:tcBorders>
              <w:top w:val="single" w:sz="8" w:space="0" w:color="auto"/>
              <w:right w:val="single" w:sz="8" w:space="0" w:color="auto"/>
            </w:tcBorders>
            <w:vAlign w:val="center"/>
          </w:tcPr>
          <w:p w:rsidR="00CD203B" w:rsidRDefault="000B691D">
            <w:pPr>
              <w:adjustRightInd w:val="0"/>
              <w:snapToGrid w:val="0"/>
              <w:spacing w:line="360" w:lineRule="auto"/>
              <w:jc w:val="right"/>
              <w:rPr>
                <w:rFonts w:ascii="黑体" w:eastAsia="黑体" w:hAnsi="黑体" w:cs="Times New Roman"/>
                <w:spacing w:val="-4"/>
                <w:sz w:val="28"/>
                <w:szCs w:val="28"/>
              </w:rPr>
            </w:pPr>
            <w:r>
              <w:rPr>
                <w:rFonts w:ascii="黑体" w:eastAsia="黑体" w:hAnsi="黑体" w:cs="Times New Roman" w:hint="eastAsia"/>
                <w:spacing w:val="-4"/>
                <w:sz w:val="28"/>
                <w:szCs w:val="28"/>
              </w:rPr>
              <w:t>其他交通工具</w:t>
            </w:r>
          </w:p>
          <w:p w:rsidR="00CD203B" w:rsidRDefault="000B691D">
            <w:pPr>
              <w:adjustRightInd w:val="0"/>
              <w:snapToGrid w:val="0"/>
              <w:spacing w:line="360" w:lineRule="auto"/>
              <w:ind w:right="232"/>
              <w:jc w:val="right"/>
              <w:rPr>
                <w:rFonts w:ascii="黑体" w:eastAsia="黑体" w:hAnsi="黑体" w:cs="Times New Roman"/>
                <w:spacing w:val="-4"/>
                <w:sz w:val="28"/>
                <w:szCs w:val="28"/>
              </w:rPr>
            </w:pPr>
            <w:r>
              <w:rPr>
                <w:rFonts w:ascii="黑体" w:eastAsia="黑体" w:hAnsi="黑体" w:cs="Times New Roman" w:hint="eastAsia"/>
                <w:spacing w:val="-4"/>
                <w:sz w:val="28"/>
                <w:szCs w:val="28"/>
              </w:rPr>
              <w:t>（不包括出租小汽车）</w:t>
            </w:r>
          </w:p>
        </w:tc>
      </w:tr>
      <w:tr w:rsidR="00CD203B">
        <w:trPr>
          <w:trHeight w:val="1064"/>
          <w:jc w:val="center"/>
        </w:trPr>
        <w:tc>
          <w:tcPr>
            <w:tcW w:w="1833" w:type="dxa"/>
            <w:tcBorders>
              <w:left w:val="single" w:sz="8" w:space="0" w:color="auto"/>
            </w:tcBorders>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1</w:t>
            </w:r>
            <w:r>
              <w:rPr>
                <w:rFonts w:ascii="宋体" w:eastAsia="宋体" w:hAnsi="宋体" w:cs="Times New Roman" w:hint="eastAsia"/>
                <w:spacing w:val="-4"/>
                <w:sz w:val="28"/>
                <w:szCs w:val="28"/>
              </w:rPr>
              <w:t>、省部级干部</w:t>
            </w:r>
          </w:p>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2</w:t>
            </w:r>
            <w:r>
              <w:rPr>
                <w:rFonts w:ascii="宋体" w:eastAsia="宋体" w:hAnsi="宋体" w:cs="Times New Roman" w:hint="eastAsia"/>
                <w:spacing w:val="-4"/>
                <w:sz w:val="28"/>
                <w:szCs w:val="28"/>
              </w:rPr>
              <w:t>、院士</w:t>
            </w:r>
          </w:p>
        </w:tc>
        <w:tc>
          <w:tcPr>
            <w:tcW w:w="3402" w:type="dxa"/>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火车软座（软座、软卧），高铁</w:t>
            </w:r>
            <w:r>
              <w:rPr>
                <w:rFonts w:ascii="宋体" w:eastAsia="宋体" w:hAnsi="宋体" w:cs="Times New Roman" w:hint="eastAsia"/>
                <w:spacing w:val="-4"/>
                <w:sz w:val="28"/>
                <w:szCs w:val="28"/>
              </w:rPr>
              <w:t>/</w:t>
            </w:r>
            <w:r>
              <w:rPr>
                <w:rFonts w:ascii="宋体" w:eastAsia="宋体" w:hAnsi="宋体" w:cs="Times New Roman" w:hint="eastAsia"/>
                <w:spacing w:val="-4"/>
                <w:sz w:val="28"/>
                <w:szCs w:val="28"/>
              </w:rPr>
              <w:t>动车商务座，全列软席列车一等软座</w:t>
            </w:r>
          </w:p>
        </w:tc>
        <w:tc>
          <w:tcPr>
            <w:tcW w:w="1428" w:type="dxa"/>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一等舱</w:t>
            </w:r>
          </w:p>
        </w:tc>
        <w:tc>
          <w:tcPr>
            <w:tcW w:w="850" w:type="dxa"/>
            <w:vAlign w:val="center"/>
          </w:tcPr>
          <w:p w:rsidR="00CD203B" w:rsidRDefault="000B691D">
            <w:pPr>
              <w:adjustRightInd w:val="0"/>
              <w:snapToGrid w:val="0"/>
              <w:spacing w:line="360" w:lineRule="auto"/>
              <w:ind w:leftChars="200" w:left="420"/>
              <w:jc w:val="left"/>
              <w:rPr>
                <w:rFonts w:ascii="宋体" w:eastAsia="宋体" w:hAnsi="宋体" w:cs="Times New Roman"/>
                <w:spacing w:val="-4"/>
                <w:sz w:val="28"/>
                <w:szCs w:val="28"/>
              </w:rPr>
            </w:pPr>
            <w:r>
              <w:rPr>
                <w:rFonts w:ascii="宋体" w:eastAsia="宋体" w:hAnsi="宋体" w:cs="Times New Roman" w:hint="eastAsia"/>
                <w:spacing w:val="-4"/>
                <w:sz w:val="28"/>
                <w:szCs w:val="28"/>
              </w:rPr>
              <w:t>头等舱</w:t>
            </w:r>
          </w:p>
        </w:tc>
        <w:tc>
          <w:tcPr>
            <w:tcW w:w="1691" w:type="dxa"/>
            <w:tcBorders>
              <w:right w:val="single" w:sz="8" w:space="0" w:color="auto"/>
            </w:tcBorders>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凭据报销</w:t>
            </w:r>
          </w:p>
        </w:tc>
      </w:tr>
      <w:tr w:rsidR="00CD203B">
        <w:trPr>
          <w:trHeight w:val="1064"/>
          <w:jc w:val="center"/>
        </w:trPr>
        <w:tc>
          <w:tcPr>
            <w:tcW w:w="1833" w:type="dxa"/>
            <w:tcBorders>
              <w:left w:val="single" w:sz="8" w:space="0" w:color="auto"/>
            </w:tcBorders>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1</w:t>
            </w:r>
            <w:r>
              <w:rPr>
                <w:rFonts w:ascii="宋体" w:eastAsia="宋体" w:hAnsi="宋体" w:cs="Times New Roman" w:hint="eastAsia"/>
                <w:spacing w:val="-4"/>
                <w:sz w:val="28"/>
                <w:szCs w:val="28"/>
              </w:rPr>
              <w:t>、厅级干部</w:t>
            </w:r>
          </w:p>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2</w:t>
            </w:r>
            <w:r>
              <w:rPr>
                <w:rFonts w:ascii="宋体" w:eastAsia="宋体" w:hAnsi="宋体" w:cs="Times New Roman" w:hint="eastAsia"/>
                <w:spacing w:val="-4"/>
                <w:sz w:val="28"/>
                <w:szCs w:val="28"/>
              </w:rPr>
              <w:t>、正高级专业技术职务人员</w:t>
            </w:r>
          </w:p>
        </w:tc>
        <w:tc>
          <w:tcPr>
            <w:tcW w:w="3402" w:type="dxa"/>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火车软座（软座、软卧），高铁</w:t>
            </w:r>
            <w:r>
              <w:rPr>
                <w:rFonts w:ascii="宋体" w:eastAsia="宋体" w:hAnsi="宋体" w:cs="Times New Roman" w:hint="eastAsia"/>
                <w:spacing w:val="-4"/>
                <w:sz w:val="28"/>
                <w:szCs w:val="28"/>
              </w:rPr>
              <w:t>/</w:t>
            </w:r>
            <w:r>
              <w:rPr>
                <w:rFonts w:ascii="宋体" w:eastAsia="宋体" w:hAnsi="宋体" w:cs="Times New Roman" w:hint="eastAsia"/>
                <w:spacing w:val="-4"/>
                <w:sz w:val="28"/>
                <w:szCs w:val="28"/>
              </w:rPr>
              <w:t>动车一等座，全列软席列车一等软座</w:t>
            </w:r>
          </w:p>
        </w:tc>
        <w:tc>
          <w:tcPr>
            <w:tcW w:w="1428" w:type="dxa"/>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二等舱</w:t>
            </w:r>
          </w:p>
        </w:tc>
        <w:tc>
          <w:tcPr>
            <w:tcW w:w="850" w:type="dxa"/>
            <w:vAlign w:val="center"/>
          </w:tcPr>
          <w:p w:rsidR="00CD203B" w:rsidRDefault="000B691D">
            <w:pPr>
              <w:adjustRightInd w:val="0"/>
              <w:snapToGrid w:val="0"/>
              <w:spacing w:line="360" w:lineRule="auto"/>
              <w:ind w:leftChars="200" w:left="420"/>
              <w:jc w:val="left"/>
              <w:rPr>
                <w:rFonts w:ascii="宋体" w:eastAsia="宋体" w:hAnsi="宋体" w:cs="Times New Roman"/>
                <w:spacing w:val="-4"/>
                <w:sz w:val="28"/>
                <w:szCs w:val="28"/>
              </w:rPr>
            </w:pPr>
            <w:r>
              <w:rPr>
                <w:rFonts w:ascii="宋体" w:eastAsia="宋体" w:hAnsi="宋体" w:cs="Times New Roman" w:hint="eastAsia"/>
                <w:spacing w:val="-4"/>
                <w:sz w:val="28"/>
                <w:szCs w:val="28"/>
              </w:rPr>
              <w:t>经济舱</w:t>
            </w:r>
          </w:p>
        </w:tc>
        <w:tc>
          <w:tcPr>
            <w:tcW w:w="1691" w:type="dxa"/>
            <w:tcBorders>
              <w:right w:val="single" w:sz="8" w:space="0" w:color="auto"/>
            </w:tcBorders>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凭据报销</w:t>
            </w:r>
          </w:p>
        </w:tc>
      </w:tr>
      <w:tr w:rsidR="00CD203B">
        <w:trPr>
          <w:trHeight w:val="1064"/>
          <w:jc w:val="center"/>
        </w:trPr>
        <w:tc>
          <w:tcPr>
            <w:tcW w:w="1833" w:type="dxa"/>
            <w:tcBorders>
              <w:left w:val="single" w:sz="8" w:space="0" w:color="auto"/>
              <w:bottom w:val="single" w:sz="8" w:space="0" w:color="auto"/>
            </w:tcBorders>
            <w:vAlign w:val="center"/>
          </w:tcPr>
          <w:p w:rsidR="00CD203B" w:rsidRDefault="000B691D">
            <w:pPr>
              <w:adjustRightInd w:val="0"/>
              <w:snapToGrid w:val="0"/>
              <w:spacing w:line="360" w:lineRule="auto"/>
              <w:ind w:leftChars="200" w:left="420"/>
              <w:jc w:val="left"/>
              <w:rPr>
                <w:rFonts w:ascii="宋体" w:eastAsia="宋体" w:hAnsi="宋体" w:cs="Times New Roman"/>
                <w:spacing w:val="-4"/>
                <w:sz w:val="28"/>
                <w:szCs w:val="28"/>
              </w:rPr>
            </w:pPr>
            <w:r>
              <w:rPr>
                <w:rFonts w:ascii="宋体" w:eastAsia="宋体" w:hAnsi="宋体" w:cs="Times New Roman" w:hint="eastAsia"/>
                <w:spacing w:val="-4"/>
                <w:sz w:val="28"/>
                <w:szCs w:val="28"/>
              </w:rPr>
              <w:t>其余人员</w:t>
            </w:r>
          </w:p>
        </w:tc>
        <w:tc>
          <w:tcPr>
            <w:tcW w:w="3402" w:type="dxa"/>
            <w:tcBorders>
              <w:bottom w:val="single" w:sz="8" w:space="0" w:color="auto"/>
            </w:tcBorders>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火车硬座（硬座、硬卧），高铁</w:t>
            </w:r>
            <w:r>
              <w:rPr>
                <w:rFonts w:ascii="宋体" w:eastAsia="宋体" w:hAnsi="宋体" w:cs="Times New Roman" w:hint="eastAsia"/>
                <w:spacing w:val="-4"/>
                <w:sz w:val="28"/>
                <w:szCs w:val="28"/>
              </w:rPr>
              <w:t>/</w:t>
            </w:r>
            <w:r>
              <w:rPr>
                <w:rFonts w:ascii="宋体" w:eastAsia="宋体" w:hAnsi="宋体" w:cs="Times New Roman" w:hint="eastAsia"/>
                <w:spacing w:val="-4"/>
                <w:sz w:val="28"/>
                <w:szCs w:val="28"/>
              </w:rPr>
              <w:t>动车二等座，全列软席列车二等软座</w:t>
            </w:r>
          </w:p>
        </w:tc>
        <w:tc>
          <w:tcPr>
            <w:tcW w:w="1428" w:type="dxa"/>
            <w:tcBorders>
              <w:bottom w:val="single" w:sz="8" w:space="0" w:color="auto"/>
            </w:tcBorders>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三等舱</w:t>
            </w:r>
          </w:p>
        </w:tc>
        <w:tc>
          <w:tcPr>
            <w:tcW w:w="850" w:type="dxa"/>
            <w:tcBorders>
              <w:bottom w:val="single" w:sz="8" w:space="0" w:color="auto"/>
            </w:tcBorders>
            <w:vAlign w:val="center"/>
          </w:tcPr>
          <w:p w:rsidR="00CD203B" w:rsidRDefault="000B691D">
            <w:pPr>
              <w:adjustRightInd w:val="0"/>
              <w:snapToGrid w:val="0"/>
              <w:spacing w:line="360" w:lineRule="auto"/>
              <w:ind w:leftChars="200" w:left="420"/>
              <w:jc w:val="left"/>
              <w:rPr>
                <w:rFonts w:ascii="宋体" w:eastAsia="宋体" w:hAnsi="宋体" w:cs="Times New Roman"/>
                <w:spacing w:val="-4"/>
                <w:sz w:val="28"/>
                <w:szCs w:val="28"/>
              </w:rPr>
            </w:pPr>
            <w:r>
              <w:rPr>
                <w:rFonts w:ascii="宋体" w:eastAsia="宋体" w:hAnsi="宋体" w:cs="Times New Roman" w:hint="eastAsia"/>
                <w:spacing w:val="-4"/>
                <w:sz w:val="28"/>
                <w:szCs w:val="28"/>
              </w:rPr>
              <w:t>经济舱</w:t>
            </w:r>
          </w:p>
        </w:tc>
        <w:tc>
          <w:tcPr>
            <w:tcW w:w="1691" w:type="dxa"/>
            <w:tcBorders>
              <w:bottom w:val="single" w:sz="8" w:space="0" w:color="auto"/>
              <w:right w:val="single" w:sz="8" w:space="0" w:color="auto"/>
            </w:tcBorders>
            <w:vAlign w:val="center"/>
          </w:tcPr>
          <w:p w:rsidR="00CD203B" w:rsidRDefault="000B691D">
            <w:pPr>
              <w:adjustRightInd w:val="0"/>
              <w:snapToGrid w:val="0"/>
              <w:spacing w:line="360" w:lineRule="auto"/>
              <w:jc w:val="left"/>
              <w:rPr>
                <w:rFonts w:ascii="宋体" w:eastAsia="宋体" w:hAnsi="宋体" w:cs="Times New Roman"/>
                <w:spacing w:val="-4"/>
                <w:sz w:val="28"/>
                <w:szCs w:val="28"/>
              </w:rPr>
            </w:pPr>
            <w:r>
              <w:rPr>
                <w:rFonts w:ascii="宋体" w:eastAsia="宋体" w:hAnsi="宋体" w:cs="Times New Roman" w:hint="eastAsia"/>
                <w:spacing w:val="-4"/>
                <w:sz w:val="28"/>
                <w:szCs w:val="28"/>
              </w:rPr>
              <w:t>凭据报销</w:t>
            </w:r>
          </w:p>
        </w:tc>
      </w:tr>
    </w:tbl>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厅级及相当职级人员出差，因工作需要，随行一人可乘坐同等级交通工具。</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未按规定等级乘坐交通工具的，超支部分由个人自理。</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第七条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到出差目的地有多种交通工具可选择时，出差人员在不影响公务、确保安全的前提下，应当选乘相对经济便捷的交通工具。</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第八条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出差人员在晚</w:t>
      </w:r>
      <w:r>
        <w:rPr>
          <w:rFonts w:ascii="Times New Roman" w:eastAsia="仿宋_GB2312" w:hAnsi="Times New Roman" w:cs="Times New Roman"/>
          <w:spacing w:val="-4"/>
          <w:sz w:val="32"/>
          <w:szCs w:val="24"/>
        </w:rPr>
        <w:t>8</w:t>
      </w:r>
      <w:r>
        <w:rPr>
          <w:rFonts w:ascii="Times New Roman" w:eastAsia="仿宋_GB2312" w:hAnsi="Times New Roman" w:cs="Times New Roman"/>
          <w:spacing w:val="-4"/>
          <w:sz w:val="32"/>
          <w:szCs w:val="24"/>
        </w:rPr>
        <w:t>时至次日晨</w:t>
      </w:r>
      <w:r>
        <w:rPr>
          <w:rFonts w:ascii="Times New Roman" w:eastAsia="仿宋_GB2312" w:hAnsi="Times New Roman" w:cs="Times New Roman" w:hint="eastAsia"/>
          <w:spacing w:val="-4"/>
          <w:sz w:val="32"/>
          <w:szCs w:val="24"/>
        </w:rPr>
        <w:t>7</w:t>
      </w:r>
      <w:r>
        <w:rPr>
          <w:rFonts w:ascii="Times New Roman" w:eastAsia="仿宋_GB2312" w:hAnsi="Times New Roman" w:cs="Times New Roman"/>
          <w:spacing w:val="-4"/>
          <w:sz w:val="32"/>
          <w:szCs w:val="24"/>
        </w:rPr>
        <w:t>时期间乘车时间</w:t>
      </w:r>
      <w:r>
        <w:rPr>
          <w:rFonts w:ascii="Times New Roman" w:eastAsia="仿宋_GB2312" w:hAnsi="Times New Roman" w:cs="Times New Roman"/>
          <w:spacing w:val="-4"/>
          <w:sz w:val="32"/>
          <w:szCs w:val="24"/>
        </w:rPr>
        <w:t>6</w:t>
      </w:r>
      <w:r>
        <w:rPr>
          <w:rFonts w:ascii="Times New Roman" w:eastAsia="仿宋_GB2312" w:hAnsi="Times New Roman" w:cs="Times New Roman"/>
          <w:spacing w:val="-4"/>
          <w:sz w:val="32"/>
          <w:szCs w:val="24"/>
        </w:rPr>
        <w:t>小时以上的，或连续乘车超过</w:t>
      </w:r>
      <w:r>
        <w:rPr>
          <w:rFonts w:ascii="Times New Roman" w:eastAsia="仿宋_GB2312" w:hAnsi="Times New Roman" w:cs="Times New Roman"/>
          <w:spacing w:val="-4"/>
          <w:sz w:val="32"/>
          <w:szCs w:val="24"/>
        </w:rPr>
        <w:t xml:space="preserve">12 </w:t>
      </w:r>
      <w:r>
        <w:rPr>
          <w:rFonts w:ascii="Times New Roman" w:eastAsia="仿宋_GB2312" w:hAnsi="Times New Roman" w:cs="Times New Roman"/>
          <w:spacing w:val="-4"/>
          <w:sz w:val="32"/>
          <w:szCs w:val="24"/>
        </w:rPr>
        <w:t>小时的，经相关负责人批准，可以乘坐软卧，按照软卧车票销。</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第九条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因发生城市间交通费用而产生的订票费、签转或退</w:t>
      </w:r>
      <w:r>
        <w:rPr>
          <w:rFonts w:ascii="Times New Roman" w:eastAsia="仿宋_GB2312" w:hAnsi="Times New Roman" w:cs="Times New Roman" w:hint="eastAsia"/>
          <w:spacing w:val="-4"/>
          <w:sz w:val="32"/>
          <w:szCs w:val="24"/>
        </w:rPr>
        <w:lastRenderedPageBreak/>
        <w:t>票费等相关费用可以凭据报销。乘坐飞机的，往返机场的专线客车费用和民航发展基金、燃油附加费凭据报销。</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在职人员因公出差乘坐飞机、火车、轮船等交通工具的交通意外保险费用由学校统一办理，出差人员自行购买的交通意外保险费用自理；其他人员因公出差乘坐飞机、火车</w:t>
      </w:r>
      <w:r>
        <w:rPr>
          <w:rFonts w:ascii="Times New Roman" w:eastAsia="仿宋_GB2312" w:hAnsi="Times New Roman" w:cs="Times New Roman" w:hint="eastAsia"/>
          <w:spacing w:val="-4"/>
          <w:sz w:val="32"/>
          <w:szCs w:val="24"/>
        </w:rPr>
        <w:t>等</w:t>
      </w:r>
      <w:r>
        <w:rPr>
          <w:rFonts w:ascii="Times New Roman" w:eastAsia="仿宋_GB2312" w:hAnsi="Times New Roman" w:cs="Times New Roman" w:hint="eastAsia"/>
          <w:spacing w:val="-4"/>
          <w:sz w:val="32"/>
          <w:szCs w:val="24"/>
        </w:rPr>
        <w:t>交通工具的，每人次可以报销交通意外保险费用一份。</w:t>
      </w:r>
    </w:p>
    <w:p w:rsidR="00CD203B" w:rsidRDefault="00CD203B">
      <w:pPr>
        <w:adjustRightInd w:val="0"/>
        <w:snapToGrid w:val="0"/>
        <w:spacing w:line="360" w:lineRule="auto"/>
        <w:jc w:val="left"/>
        <w:rPr>
          <w:rFonts w:ascii="Times New Roman" w:eastAsia="仿宋_GB2312" w:hAnsi="Times New Roman" w:cs="Times New Roman"/>
          <w:spacing w:val="-4"/>
          <w:sz w:val="32"/>
          <w:szCs w:val="24"/>
        </w:rPr>
      </w:pPr>
    </w:p>
    <w:p w:rsidR="00CD203B" w:rsidRDefault="000B691D">
      <w:pPr>
        <w:adjustRightInd w:val="0"/>
        <w:snapToGrid w:val="0"/>
        <w:spacing w:line="360" w:lineRule="auto"/>
        <w:jc w:val="center"/>
        <w:rPr>
          <w:rFonts w:ascii="Times New Roman" w:eastAsia="黑体" w:hAnsi="Times New Roman" w:cs="Times New Roman"/>
          <w:spacing w:val="-4"/>
          <w:sz w:val="36"/>
          <w:szCs w:val="36"/>
        </w:rPr>
      </w:pPr>
      <w:r>
        <w:rPr>
          <w:rFonts w:ascii="Times New Roman" w:eastAsia="黑体" w:hAnsi="Times New Roman" w:cs="Times New Roman" w:hint="eastAsia"/>
          <w:spacing w:val="-4"/>
          <w:sz w:val="36"/>
          <w:szCs w:val="36"/>
        </w:rPr>
        <w:t>第三章</w:t>
      </w:r>
      <w:r>
        <w:rPr>
          <w:rFonts w:ascii="Times New Roman" w:eastAsia="黑体" w:hAnsi="Times New Roman" w:cs="Times New Roman"/>
          <w:spacing w:val="-4"/>
          <w:sz w:val="36"/>
          <w:szCs w:val="36"/>
        </w:rPr>
        <w:t xml:space="preserve">  </w:t>
      </w:r>
      <w:r>
        <w:rPr>
          <w:rFonts w:ascii="Times New Roman" w:eastAsia="黑体" w:hAnsi="Times New Roman" w:cs="Times New Roman" w:hint="eastAsia"/>
          <w:spacing w:val="-4"/>
          <w:sz w:val="36"/>
          <w:szCs w:val="36"/>
        </w:rPr>
        <w:t>住宿费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hint="eastAsia"/>
          <w:spacing w:val="-4"/>
          <w:sz w:val="32"/>
          <w:szCs w:val="24"/>
        </w:rPr>
        <w:t>住宿费是指工作人员因公出差期间入住宾馆（包括饭店、招待所，下同）发生的房租费用。</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第十一条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各类人员出差住宿费限额标准见附件。</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第十二条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hint="eastAsia"/>
          <w:spacing w:val="-4"/>
          <w:sz w:val="32"/>
          <w:szCs w:val="24"/>
        </w:rPr>
        <w:t>出差人员应当在职务级别对应的住宿费限额标准内，选择安全、经济、便捷的宾馆住宿。</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第十三条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hint="eastAsia"/>
          <w:spacing w:val="-4"/>
          <w:sz w:val="32"/>
          <w:szCs w:val="24"/>
        </w:rPr>
        <w:t>住宿费发票应注明住宿天数（或时间）、人数（或房间数）、单价等基本信息，或提供宾馆盖章的住宿清单。</w:t>
      </w:r>
    </w:p>
    <w:p w:rsidR="00CD203B" w:rsidRDefault="00CD203B">
      <w:pPr>
        <w:adjustRightInd w:val="0"/>
        <w:snapToGrid w:val="0"/>
        <w:spacing w:line="360" w:lineRule="auto"/>
        <w:ind w:leftChars="200" w:left="420"/>
        <w:jc w:val="left"/>
        <w:rPr>
          <w:rFonts w:ascii="Times New Roman" w:eastAsia="仿宋_GB2312" w:hAnsi="Times New Roman" w:cs="Times New Roman"/>
          <w:spacing w:val="-4"/>
          <w:sz w:val="32"/>
          <w:szCs w:val="24"/>
        </w:rPr>
      </w:pPr>
    </w:p>
    <w:p w:rsidR="00CD203B" w:rsidRDefault="000B691D">
      <w:pPr>
        <w:adjustRightInd w:val="0"/>
        <w:snapToGrid w:val="0"/>
        <w:spacing w:line="360" w:lineRule="auto"/>
        <w:jc w:val="center"/>
        <w:rPr>
          <w:rFonts w:ascii="Times New Roman" w:eastAsia="黑体" w:hAnsi="Times New Roman" w:cs="Times New Roman"/>
          <w:spacing w:val="-4"/>
          <w:sz w:val="36"/>
          <w:szCs w:val="36"/>
        </w:rPr>
      </w:pPr>
      <w:r>
        <w:rPr>
          <w:rFonts w:ascii="Times New Roman" w:eastAsia="黑体" w:hAnsi="Times New Roman" w:cs="Times New Roman" w:hint="eastAsia"/>
          <w:spacing w:val="-4"/>
          <w:sz w:val="36"/>
          <w:szCs w:val="36"/>
        </w:rPr>
        <w:t>第四章</w:t>
      </w:r>
      <w:r>
        <w:rPr>
          <w:rFonts w:ascii="Times New Roman" w:eastAsia="黑体" w:hAnsi="Times New Roman" w:cs="Times New Roman" w:hint="eastAsia"/>
          <w:spacing w:val="-4"/>
          <w:sz w:val="36"/>
          <w:szCs w:val="36"/>
        </w:rPr>
        <w:t xml:space="preserve"> </w:t>
      </w:r>
      <w:r>
        <w:rPr>
          <w:rFonts w:ascii="Times New Roman" w:eastAsia="黑体" w:hAnsi="Times New Roman" w:cs="Times New Roman"/>
          <w:spacing w:val="-4"/>
          <w:sz w:val="36"/>
          <w:szCs w:val="36"/>
        </w:rPr>
        <w:t xml:space="preserve"> </w:t>
      </w:r>
      <w:r>
        <w:rPr>
          <w:rFonts w:ascii="Times New Roman" w:eastAsia="黑体" w:hAnsi="Times New Roman" w:cs="Times New Roman" w:hint="eastAsia"/>
          <w:spacing w:val="-4"/>
          <w:sz w:val="36"/>
          <w:szCs w:val="36"/>
        </w:rPr>
        <w:t>伙食补助费</w:t>
      </w:r>
    </w:p>
    <w:p w:rsidR="00CD203B" w:rsidRDefault="000B691D">
      <w:pPr>
        <w:adjustRightInd w:val="0"/>
        <w:snapToGrid w:val="0"/>
        <w:spacing w:line="360" w:lineRule="auto"/>
        <w:ind w:firstLineChars="200" w:firstLine="624"/>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第十四条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hint="eastAsia"/>
          <w:spacing w:val="-4"/>
          <w:sz w:val="32"/>
          <w:szCs w:val="24"/>
        </w:rPr>
        <w:t>伙食补助费是指对工作人员在因公出差期间给予的伙食补助费用。</w:t>
      </w:r>
    </w:p>
    <w:p w:rsidR="00CD203B" w:rsidRDefault="000B691D">
      <w:pPr>
        <w:adjustRightInd w:val="0"/>
        <w:snapToGrid w:val="0"/>
        <w:spacing w:line="360" w:lineRule="auto"/>
        <w:ind w:firstLineChars="200" w:firstLine="624"/>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第十五条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工作人员出差伙食补助费，按出差自然</w:t>
      </w:r>
      <w:r>
        <w:rPr>
          <w:rFonts w:ascii="Times New Roman" w:eastAsia="仿宋_GB2312" w:hAnsi="Times New Roman" w:cs="Times New Roman" w:hint="eastAsia"/>
          <w:spacing w:val="-4"/>
          <w:sz w:val="32"/>
          <w:szCs w:val="24"/>
        </w:rPr>
        <w:t>（</w:t>
      </w:r>
      <w:r>
        <w:rPr>
          <w:rFonts w:ascii="Times New Roman" w:eastAsia="仿宋_GB2312" w:hAnsi="Times New Roman" w:cs="Times New Roman" w:hint="eastAsia"/>
          <w:spacing w:val="-4"/>
          <w:sz w:val="32"/>
          <w:szCs w:val="24"/>
        </w:rPr>
        <w:t>日历</w:t>
      </w:r>
      <w:r>
        <w:rPr>
          <w:rFonts w:ascii="Times New Roman" w:eastAsia="仿宋_GB2312" w:hAnsi="Times New Roman" w:cs="Times New Roman" w:hint="eastAsia"/>
          <w:spacing w:val="-4"/>
          <w:sz w:val="32"/>
          <w:szCs w:val="24"/>
        </w:rPr>
        <w:t>）</w:t>
      </w:r>
      <w:r>
        <w:rPr>
          <w:rFonts w:ascii="Times New Roman" w:eastAsia="仿宋_GB2312" w:hAnsi="Times New Roman" w:cs="Times New Roman" w:hint="eastAsia"/>
          <w:spacing w:val="-4"/>
          <w:sz w:val="32"/>
          <w:szCs w:val="24"/>
        </w:rPr>
        <w:t>天</w:t>
      </w:r>
      <w:r>
        <w:rPr>
          <w:rFonts w:ascii="Times New Roman" w:eastAsia="仿宋_GB2312" w:hAnsi="Times New Roman" w:cs="Times New Roman" w:hint="eastAsia"/>
          <w:spacing w:val="-4"/>
          <w:sz w:val="32"/>
          <w:szCs w:val="24"/>
        </w:rPr>
        <w:lastRenderedPageBreak/>
        <w:t>数计算，按规定标准包干使用，发放标准为每人每天</w:t>
      </w:r>
      <w:r>
        <w:rPr>
          <w:rFonts w:ascii="Times New Roman" w:eastAsia="仿宋_GB2312" w:hAnsi="Times New Roman" w:cs="Times New Roman" w:hint="eastAsia"/>
          <w:spacing w:val="-4"/>
          <w:sz w:val="32"/>
          <w:szCs w:val="24"/>
        </w:rPr>
        <w:t>1</w:t>
      </w:r>
      <w:r>
        <w:rPr>
          <w:rFonts w:ascii="Times New Roman" w:eastAsia="仿宋_GB2312" w:hAnsi="Times New Roman" w:cs="Times New Roman"/>
          <w:spacing w:val="-4"/>
          <w:sz w:val="32"/>
          <w:szCs w:val="24"/>
        </w:rPr>
        <w:t>00</w:t>
      </w:r>
      <w:r>
        <w:rPr>
          <w:rFonts w:ascii="Times New Roman" w:eastAsia="仿宋_GB2312" w:hAnsi="Times New Roman" w:cs="Times New Roman" w:hint="eastAsia"/>
          <w:spacing w:val="-4"/>
          <w:sz w:val="32"/>
          <w:szCs w:val="24"/>
        </w:rPr>
        <w:t>元。</w:t>
      </w:r>
    </w:p>
    <w:p w:rsidR="00CD203B" w:rsidRDefault="000B691D">
      <w:pPr>
        <w:adjustRightInd w:val="0"/>
        <w:snapToGrid w:val="0"/>
        <w:spacing w:line="360" w:lineRule="auto"/>
        <w:ind w:firstLineChars="200" w:firstLine="624"/>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第十六条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已由校外单位负担伙食费用的，不得在学校重复领取伙食补助费用。</w:t>
      </w:r>
    </w:p>
    <w:p w:rsidR="00CD203B" w:rsidRDefault="00CD203B">
      <w:pPr>
        <w:adjustRightInd w:val="0"/>
        <w:snapToGrid w:val="0"/>
        <w:spacing w:line="360" w:lineRule="auto"/>
        <w:jc w:val="left"/>
        <w:rPr>
          <w:rFonts w:ascii="Times New Roman" w:eastAsia="仿宋_GB2312" w:hAnsi="Times New Roman" w:cs="Times New Roman"/>
          <w:spacing w:val="-4"/>
          <w:sz w:val="32"/>
          <w:szCs w:val="24"/>
        </w:rPr>
      </w:pPr>
    </w:p>
    <w:p w:rsidR="00CD203B" w:rsidRDefault="000B691D">
      <w:pPr>
        <w:adjustRightInd w:val="0"/>
        <w:snapToGrid w:val="0"/>
        <w:spacing w:line="360" w:lineRule="auto"/>
        <w:ind w:firstLineChars="200" w:firstLine="704"/>
        <w:jc w:val="center"/>
        <w:rPr>
          <w:rFonts w:ascii="Times New Roman" w:eastAsia="黑体" w:hAnsi="Times New Roman" w:cs="Times New Roman"/>
          <w:spacing w:val="-4"/>
          <w:sz w:val="36"/>
          <w:szCs w:val="36"/>
        </w:rPr>
      </w:pPr>
      <w:r>
        <w:rPr>
          <w:rFonts w:ascii="Times New Roman" w:eastAsia="黑体" w:hAnsi="Times New Roman" w:cs="Times New Roman" w:hint="eastAsia"/>
          <w:spacing w:val="-4"/>
          <w:sz w:val="36"/>
          <w:szCs w:val="36"/>
        </w:rPr>
        <w:t>第五章</w:t>
      </w:r>
      <w:r>
        <w:rPr>
          <w:rFonts w:ascii="Times New Roman" w:eastAsia="黑体" w:hAnsi="Times New Roman" w:cs="Times New Roman" w:hint="eastAsia"/>
          <w:spacing w:val="-4"/>
          <w:sz w:val="36"/>
          <w:szCs w:val="36"/>
        </w:rPr>
        <w:t xml:space="preserve"> </w:t>
      </w:r>
      <w:r>
        <w:rPr>
          <w:rFonts w:ascii="Times New Roman" w:eastAsia="黑体" w:hAnsi="Times New Roman" w:cs="Times New Roman"/>
          <w:spacing w:val="-4"/>
          <w:sz w:val="36"/>
          <w:szCs w:val="36"/>
        </w:rPr>
        <w:t xml:space="preserve"> </w:t>
      </w:r>
      <w:r>
        <w:rPr>
          <w:rFonts w:ascii="Times New Roman" w:eastAsia="黑体" w:hAnsi="Times New Roman" w:cs="Times New Roman" w:hint="eastAsia"/>
          <w:spacing w:val="-4"/>
          <w:sz w:val="36"/>
          <w:szCs w:val="36"/>
        </w:rPr>
        <w:t>市内交通费</w:t>
      </w:r>
    </w:p>
    <w:p w:rsidR="00CD203B" w:rsidRDefault="000B691D">
      <w:pPr>
        <w:adjustRightInd w:val="0"/>
        <w:snapToGrid w:val="0"/>
        <w:spacing w:line="360" w:lineRule="auto"/>
        <w:ind w:firstLineChars="200" w:firstLine="624"/>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w:t>
      </w:r>
      <w:r>
        <w:rPr>
          <w:rFonts w:ascii="Times New Roman" w:eastAsia="仿宋_GB2312" w:hAnsi="Times New Roman" w:cs="Times New Roman" w:hint="eastAsia"/>
          <w:spacing w:val="-4"/>
          <w:sz w:val="32"/>
          <w:szCs w:val="24"/>
        </w:rPr>
        <w:t>十七条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市内交通费是指工作人员出差期间发生的市内交通费用。</w:t>
      </w:r>
    </w:p>
    <w:p w:rsidR="00CD203B" w:rsidRDefault="000B691D">
      <w:pPr>
        <w:adjustRightInd w:val="0"/>
        <w:snapToGrid w:val="0"/>
        <w:spacing w:line="360" w:lineRule="auto"/>
        <w:ind w:firstLineChars="200" w:firstLine="624"/>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第十八条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市内交通费按出差自然天数计算，每人每天</w:t>
      </w:r>
      <w:r>
        <w:rPr>
          <w:rFonts w:ascii="Times New Roman" w:eastAsia="仿宋_GB2312" w:hAnsi="Times New Roman" w:cs="Times New Roman" w:hint="eastAsia"/>
          <w:spacing w:val="-4"/>
          <w:sz w:val="32"/>
          <w:szCs w:val="24"/>
        </w:rPr>
        <w:t>80</w:t>
      </w:r>
      <w:r>
        <w:rPr>
          <w:rFonts w:ascii="Times New Roman" w:eastAsia="仿宋_GB2312" w:hAnsi="Times New Roman" w:cs="Times New Roman" w:hint="eastAsia"/>
          <w:spacing w:val="-4"/>
          <w:sz w:val="32"/>
          <w:szCs w:val="24"/>
        </w:rPr>
        <w:t>元包干使用。</w:t>
      </w:r>
    </w:p>
    <w:p w:rsidR="00CD203B" w:rsidRDefault="000B691D">
      <w:pPr>
        <w:adjustRightInd w:val="0"/>
        <w:snapToGrid w:val="0"/>
        <w:spacing w:line="360" w:lineRule="auto"/>
        <w:ind w:firstLineChars="200" w:firstLine="624"/>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第十九条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已由校外单位负担交通费用的，不得在学校重复领取市内交通费。本单位派车或租赁车辆的，不给予市内交通费补助。</w:t>
      </w:r>
    </w:p>
    <w:p w:rsidR="00CD203B" w:rsidRDefault="00CD203B">
      <w:pPr>
        <w:adjustRightInd w:val="0"/>
        <w:snapToGrid w:val="0"/>
        <w:spacing w:line="360" w:lineRule="auto"/>
        <w:ind w:firstLineChars="200" w:firstLine="624"/>
        <w:rPr>
          <w:rFonts w:ascii="Times New Roman" w:eastAsia="仿宋_GB2312" w:hAnsi="Times New Roman" w:cs="Times New Roman"/>
          <w:spacing w:val="-4"/>
          <w:sz w:val="32"/>
          <w:szCs w:val="24"/>
        </w:rPr>
      </w:pPr>
    </w:p>
    <w:p w:rsidR="00CD203B" w:rsidRDefault="000B691D">
      <w:pPr>
        <w:adjustRightInd w:val="0"/>
        <w:snapToGrid w:val="0"/>
        <w:spacing w:line="360" w:lineRule="auto"/>
        <w:ind w:firstLineChars="200" w:firstLine="704"/>
        <w:jc w:val="center"/>
        <w:rPr>
          <w:rFonts w:ascii="Times New Roman" w:eastAsia="黑体" w:hAnsi="Times New Roman" w:cs="Times New Roman"/>
          <w:spacing w:val="-4"/>
          <w:sz w:val="36"/>
          <w:szCs w:val="36"/>
        </w:rPr>
      </w:pPr>
      <w:r>
        <w:rPr>
          <w:rFonts w:ascii="Times New Roman" w:eastAsia="黑体" w:hAnsi="Times New Roman" w:cs="Times New Roman" w:hint="eastAsia"/>
          <w:spacing w:val="-4"/>
          <w:sz w:val="36"/>
          <w:szCs w:val="36"/>
        </w:rPr>
        <w:t>第六章</w:t>
      </w:r>
      <w:r>
        <w:rPr>
          <w:rFonts w:ascii="Times New Roman" w:eastAsia="黑体" w:hAnsi="Times New Roman" w:cs="Times New Roman"/>
          <w:spacing w:val="-4"/>
          <w:sz w:val="36"/>
          <w:szCs w:val="36"/>
        </w:rPr>
        <w:t xml:space="preserve">  </w:t>
      </w:r>
      <w:r>
        <w:rPr>
          <w:rFonts w:ascii="Times New Roman" w:eastAsia="黑体" w:hAnsi="Times New Roman" w:cs="Times New Roman"/>
          <w:spacing w:val="-4"/>
          <w:sz w:val="36"/>
          <w:szCs w:val="36"/>
        </w:rPr>
        <w:t>与会、培训等差旅费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工作人员参加会议、培训（学习），按照</w:t>
      </w:r>
      <w:r>
        <w:rPr>
          <w:rFonts w:ascii="Times New Roman" w:eastAsia="仿宋_GB2312" w:hAnsi="Times New Roman" w:cs="Times New Roman" w:hint="eastAsia"/>
          <w:spacing w:val="-4"/>
          <w:sz w:val="32"/>
          <w:szCs w:val="24"/>
        </w:rPr>
        <w:t>出差审批程序进行审批，发生的差旅费等按下列原则报销：</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（一）</w:t>
      </w:r>
      <w:r>
        <w:rPr>
          <w:rFonts w:ascii="Times New Roman" w:eastAsia="仿宋_GB2312" w:hAnsi="Times New Roman" w:cs="Times New Roman"/>
          <w:spacing w:val="-4"/>
          <w:sz w:val="32"/>
          <w:szCs w:val="24"/>
        </w:rPr>
        <w:t>城市间交通费按规定据实报销；</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二</w:t>
      </w: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会议和培训通知注明举办方承担市内交通</w:t>
      </w:r>
      <w:r>
        <w:rPr>
          <w:rFonts w:ascii="Times New Roman" w:eastAsia="仿宋_GB2312" w:hAnsi="Times New Roman" w:cs="Times New Roman" w:hint="eastAsia"/>
          <w:spacing w:val="-4"/>
          <w:sz w:val="32"/>
          <w:szCs w:val="24"/>
        </w:rPr>
        <w:t>费或统一安排食宿的</w:t>
      </w:r>
      <w:r>
        <w:rPr>
          <w:rFonts w:ascii="Times New Roman" w:eastAsia="仿宋_GB2312" w:hAnsi="Times New Roman" w:cs="Times New Roman"/>
          <w:spacing w:val="-4"/>
          <w:sz w:val="32"/>
          <w:szCs w:val="24"/>
        </w:rPr>
        <w:t>，发放在途期间市内交通费；通知未注明举办方承</w:t>
      </w:r>
      <w:r>
        <w:rPr>
          <w:rFonts w:ascii="Times New Roman" w:eastAsia="仿宋_GB2312" w:hAnsi="Times New Roman" w:cs="Times New Roman" w:hint="eastAsia"/>
          <w:spacing w:val="-4"/>
          <w:sz w:val="32"/>
          <w:szCs w:val="24"/>
        </w:rPr>
        <w:t>担市内交通或统一安排食宿的，按照出差自然天数发放市内交通费；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lastRenderedPageBreak/>
        <w:t>（三）会议和培训举办方统一安排住宿且费用自理的，凭会议和培训通知等举办方出具的有效证明，据实报销住宿费；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四）会议和培训通知注明举办方承担伙食费的，发放在途期间伙食补助费；通知注明举办方</w:t>
      </w:r>
      <w:r>
        <w:rPr>
          <w:rFonts w:ascii="Times New Roman" w:eastAsia="仿宋_GB2312" w:hAnsi="Times New Roman" w:cs="Times New Roman" w:hint="eastAsia"/>
          <w:spacing w:val="-4"/>
          <w:sz w:val="32"/>
          <w:szCs w:val="24"/>
        </w:rPr>
        <w:t>统一安排伙食且费用自理的</w:t>
      </w:r>
      <w:r>
        <w:rPr>
          <w:rFonts w:ascii="Times New Roman" w:eastAsia="仿宋_GB2312" w:hAnsi="Times New Roman" w:cs="Times New Roman"/>
          <w:spacing w:val="-4"/>
          <w:sz w:val="32"/>
          <w:szCs w:val="24"/>
        </w:rPr>
        <w:t>，按照出差自然天数发放伙食补助费；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五）会议费、培训（学习）费、资料费凭会议、培训</w:t>
      </w:r>
      <w:r>
        <w:rPr>
          <w:rFonts w:ascii="Times New Roman" w:eastAsia="仿宋_GB2312" w:hAnsi="Times New Roman" w:cs="Times New Roman" w:hint="eastAsia"/>
          <w:spacing w:val="-4"/>
          <w:sz w:val="32"/>
          <w:szCs w:val="24"/>
        </w:rPr>
        <w:t>通知或主办方其他证明文件和合法合规票据与差旅费一并报销，事后不得补报。</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第二十一条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工作人员出差期间，事先经</w:t>
      </w:r>
      <w:r>
        <w:rPr>
          <w:rFonts w:ascii="Times New Roman" w:eastAsia="仿宋_GB2312" w:hAnsi="Times New Roman" w:cs="Times New Roman"/>
          <w:spacing w:val="-4"/>
          <w:sz w:val="32"/>
          <w:szCs w:val="24"/>
        </w:rPr>
        <w:t>单位领导批准</w:t>
      </w:r>
      <w:r>
        <w:rPr>
          <w:rFonts w:ascii="Times New Roman" w:eastAsia="仿宋_GB2312" w:hAnsi="Times New Roman" w:cs="Times New Roman" w:hint="eastAsia"/>
          <w:spacing w:val="-4"/>
          <w:sz w:val="32"/>
          <w:szCs w:val="24"/>
        </w:rPr>
        <w:t>就近回家省亲办事，城市间交通费按不高于乘坐规定等级交通工具从出差目的地返回单位的票价予以报销，超过部分由个人自理。住宿费、伙食补助费和市内交通费按出差实际天数（扣除回家省亲办事天数）和规定标准报销，绕道和在家期间不予报销住宿费、伙食补助费和市内交通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第二十二条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确因工作业务需要邀请国内外专家、学者或有关校外人员来校开会、交流、访问及业务指导的，可报销受邀人员城市</w:t>
      </w:r>
      <w:r>
        <w:rPr>
          <w:rFonts w:ascii="Times New Roman" w:eastAsia="仿宋_GB2312" w:hAnsi="Times New Roman" w:cs="Times New Roman" w:hint="eastAsia"/>
          <w:spacing w:val="-4"/>
          <w:sz w:val="32"/>
          <w:szCs w:val="24"/>
        </w:rPr>
        <w:t>间</w:t>
      </w:r>
      <w:r>
        <w:rPr>
          <w:rFonts w:ascii="Times New Roman" w:eastAsia="仿宋_GB2312" w:hAnsi="Times New Roman" w:cs="Times New Roman"/>
          <w:spacing w:val="-4"/>
          <w:sz w:val="32"/>
          <w:szCs w:val="24"/>
        </w:rPr>
        <w:t>交通费、住宿费，不发放伙食补助费和市内交通</w:t>
      </w:r>
      <w:r>
        <w:rPr>
          <w:rFonts w:ascii="Times New Roman" w:eastAsia="仿宋_GB2312" w:hAnsi="Times New Roman" w:cs="Times New Roman" w:hint="eastAsia"/>
          <w:spacing w:val="-4"/>
          <w:sz w:val="32"/>
          <w:szCs w:val="24"/>
        </w:rPr>
        <w:t>费。</w:t>
      </w:r>
    </w:p>
    <w:p w:rsidR="00CD203B" w:rsidRDefault="00CD203B">
      <w:pPr>
        <w:adjustRightInd w:val="0"/>
        <w:snapToGrid w:val="0"/>
        <w:spacing w:line="360" w:lineRule="auto"/>
        <w:jc w:val="left"/>
        <w:rPr>
          <w:rFonts w:ascii="Times New Roman" w:eastAsia="仿宋_GB2312" w:hAnsi="Times New Roman" w:cs="Times New Roman"/>
          <w:spacing w:val="-4"/>
          <w:sz w:val="32"/>
          <w:szCs w:val="24"/>
        </w:rPr>
      </w:pPr>
    </w:p>
    <w:p w:rsidR="00CD203B" w:rsidRDefault="000B691D">
      <w:pPr>
        <w:adjustRightInd w:val="0"/>
        <w:snapToGrid w:val="0"/>
        <w:spacing w:line="360" w:lineRule="auto"/>
        <w:ind w:firstLineChars="200" w:firstLine="704"/>
        <w:jc w:val="center"/>
        <w:rPr>
          <w:rFonts w:ascii="Times New Roman" w:eastAsia="黑体" w:hAnsi="Times New Roman" w:cs="Times New Roman"/>
          <w:spacing w:val="-4"/>
          <w:sz w:val="36"/>
          <w:szCs w:val="36"/>
        </w:rPr>
      </w:pPr>
      <w:r>
        <w:rPr>
          <w:rFonts w:ascii="Times New Roman" w:eastAsia="黑体" w:hAnsi="Times New Roman" w:cs="Times New Roman" w:hint="eastAsia"/>
          <w:spacing w:val="-4"/>
          <w:sz w:val="36"/>
          <w:szCs w:val="36"/>
        </w:rPr>
        <w:t>第七章</w:t>
      </w:r>
      <w:r>
        <w:rPr>
          <w:rFonts w:ascii="Times New Roman" w:eastAsia="黑体" w:hAnsi="Times New Roman" w:cs="Times New Roman"/>
          <w:spacing w:val="-4"/>
          <w:sz w:val="36"/>
          <w:szCs w:val="36"/>
        </w:rPr>
        <w:t xml:space="preserve">  </w:t>
      </w:r>
      <w:r>
        <w:rPr>
          <w:rFonts w:ascii="Times New Roman" w:eastAsia="黑体" w:hAnsi="Times New Roman" w:cs="Times New Roman"/>
          <w:spacing w:val="-4"/>
          <w:sz w:val="36"/>
          <w:szCs w:val="36"/>
        </w:rPr>
        <w:t>报销管理</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第二十三条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出差人员应当严格按规定开支差旅费，不得向</w:t>
      </w:r>
      <w:r>
        <w:rPr>
          <w:rFonts w:ascii="Times New Roman" w:eastAsia="仿宋_GB2312" w:hAnsi="Times New Roman" w:cs="Times New Roman" w:hint="eastAsia"/>
          <w:spacing w:val="-4"/>
          <w:sz w:val="32"/>
          <w:szCs w:val="24"/>
        </w:rPr>
        <w:lastRenderedPageBreak/>
        <w:t>下级</w:t>
      </w:r>
      <w:r>
        <w:rPr>
          <w:rFonts w:ascii="Times New Roman" w:eastAsia="仿宋_GB2312" w:hAnsi="Times New Roman" w:cs="Times New Roman" w:hint="eastAsia"/>
          <w:spacing w:val="-4"/>
          <w:sz w:val="32"/>
          <w:szCs w:val="24"/>
        </w:rPr>
        <w:t>单位或企业转嫁。</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第二十四条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同时在管理岗位和专业技术岗位任职的人员，可以按照“就高”</w:t>
      </w:r>
      <w:r>
        <w:rPr>
          <w:rFonts w:ascii="Times New Roman" w:eastAsia="仿宋_GB2312" w:hAnsi="Times New Roman" w:cs="Times New Roman"/>
          <w:spacing w:val="-4"/>
          <w:sz w:val="32"/>
          <w:szCs w:val="24"/>
        </w:rPr>
        <w:t>原则选择差旅费标准。</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第二十五条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出差人员乘坐交通工具等级和</w:t>
      </w:r>
      <w:r>
        <w:rPr>
          <w:rFonts w:ascii="Times New Roman" w:eastAsia="仿宋_GB2312" w:hAnsi="Times New Roman" w:cs="Times New Roman" w:hint="eastAsia"/>
          <w:spacing w:val="-4"/>
          <w:sz w:val="32"/>
          <w:szCs w:val="24"/>
        </w:rPr>
        <w:t>住</w:t>
      </w:r>
      <w:r>
        <w:rPr>
          <w:rFonts w:ascii="Times New Roman" w:eastAsia="仿宋_GB2312" w:hAnsi="Times New Roman" w:cs="Times New Roman"/>
          <w:spacing w:val="-4"/>
          <w:sz w:val="32"/>
          <w:szCs w:val="24"/>
        </w:rPr>
        <w:t>宿费标准，相关专项经费和科研项目管理办法有明确规定的，从其规定。</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第二十六条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出差人员使用横向科研经费出差的，其乘</w:t>
      </w:r>
      <w:r>
        <w:rPr>
          <w:rFonts w:ascii="Times New Roman" w:eastAsia="仿宋_GB2312" w:hAnsi="Times New Roman" w:cs="Times New Roman" w:hint="eastAsia"/>
          <w:spacing w:val="-4"/>
          <w:sz w:val="32"/>
          <w:szCs w:val="24"/>
        </w:rPr>
        <w:t>坐交通工具等级和住宿费不受级别限制，可在第六条及第十一条规定的交通工具和住宿费最高等级标准内据实报销，合同有约定的，按合同执行。</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第二十七条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到常驻地以外地区从事野外实习、考察、写</w:t>
      </w:r>
      <w:r>
        <w:rPr>
          <w:rFonts w:ascii="Times New Roman" w:eastAsia="仿宋_GB2312" w:hAnsi="Times New Roman" w:cs="Times New Roman" w:hint="eastAsia"/>
          <w:spacing w:val="-4"/>
          <w:sz w:val="32"/>
          <w:szCs w:val="24"/>
        </w:rPr>
        <w:t>生、采风的，有相关规定从其规定，原则上按差旅费管理办法执行。</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w:t>
      </w:r>
      <w:r>
        <w:rPr>
          <w:rFonts w:ascii="Times New Roman" w:eastAsia="仿宋_GB2312" w:hAnsi="Times New Roman" w:cs="Times New Roman" w:hint="eastAsia"/>
          <w:spacing w:val="-4"/>
          <w:sz w:val="32"/>
          <w:szCs w:val="24"/>
        </w:rPr>
        <w:t>二十八条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出差人员应在出差结束后一个月内办理财务报销手续，差旅费报销时须提交“财务报销申请”并附火车报销凭证</w:t>
      </w:r>
      <w:r>
        <w:rPr>
          <w:rFonts w:ascii="Times New Roman" w:eastAsia="仿宋_GB2312" w:hAnsi="Times New Roman" w:cs="Times New Roman"/>
          <w:spacing w:val="-4"/>
          <w:sz w:val="32"/>
          <w:szCs w:val="24"/>
        </w:rPr>
        <w:t>、</w:t>
      </w:r>
      <w:r>
        <w:rPr>
          <w:rFonts w:ascii="Times New Roman" w:eastAsia="仿宋_GB2312" w:hAnsi="Times New Roman" w:cs="Times New Roman" w:hint="eastAsia"/>
          <w:spacing w:val="-4"/>
          <w:sz w:val="32"/>
          <w:szCs w:val="24"/>
        </w:rPr>
        <w:t>航空运输电子客票行程单</w:t>
      </w:r>
      <w:r>
        <w:rPr>
          <w:rFonts w:ascii="Times New Roman" w:eastAsia="仿宋_GB2312" w:hAnsi="Times New Roman" w:cs="Times New Roman"/>
          <w:spacing w:val="-4"/>
          <w:sz w:val="32"/>
          <w:szCs w:val="24"/>
        </w:rPr>
        <w:t>、登机牌、车船票、住宿发票、市内交通费票据等报销凭证。出差人员在出差期间所发生的其他费用</w:t>
      </w: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包括缴纳的会议费和培训费），应连同当次差旅费同时报销</w:t>
      </w: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事后不</w:t>
      </w:r>
      <w:r>
        <w:rPr>
          <w:rFonts w:ascii="Times New Roman" w:eastAsia="仿宋_GB2312" w:hAnsi="Times New Roman" w:cs="Times New Roman" w:hint="eastAsia"/>
          <w:spacing w:val="-4"/>
          <w:sz w:val="32"/>
          <w:szCs w:val="24"/>
        </w:rPr>
        <w:t>予</w:t>
      </w:r>
      <w:r>
        <w:rPr>
          <w:rFonts w:ascii="Times New Roman" w:eastAsia="仿宋_GB2312" w:hAnsi="Times New Roman" w:cs="Times New Roman"/>
          <w:spacing w:val="-4"/>
          <w:sz w:val="32"/>
          <w:szCs w:val="24"/>
        </w:rPr>
        <w:t>补报。</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第二十九条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差旅费报销应遵循</w:t>
      </w:r>
      <w:r>
        <w:rPr>
          <w:rFonts w:ascii="Times New Roman" w:eastAsia="仿宋_GB2312" w:hAnsi="Times New Roman" w:cs="Times New Roman"/>
          <w:spacing w:val="-4"/>
          <w:sz w:val="32"/>
          <w:szCs w:val="24"/>
        </w:rPr>
        <w:t>“</w:t>
      </w:r>
      <w:r>
        <w:rPr>
          <w:rFonts w:ascii="Times New Roman" w:eastAsia="仿宋_GB2312" w:hAnsi="Times New Roman" w:cs="Times New Roman" w:hint="eastAsia"/>
          <w:spacing w:val="-4"/>
          <w:sz w:val="32"/>
          <w:szCs w:val="24"/>
        </w:rPr>
        <w:t>一</w:t>
      </w:r>
      <w:r>
        <w:rPr>
          <w:rFonts w:ascii="Times New Roman" w:eastAsia="仿宋_GB2312" w:hAnsi="Times New Roman" w:cs="Times New Roman"/>
          <w:spacing w:val="-4"/>
          <w:sz w:val="32"/>
          <w:szCs w:val="24"/>
        </w:rPr>
        <w:t>事一报</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原则，不在同一</w:t>
      </w:r>
      <w:r>
        <w:rPr>
          <w:rFonts w:ascii="Times New Roman" w:eastAsia="仿宋_GB2312" w:hAnsi="Times New Roman" w:cs="Times New Roman" w:hint="eastAsia"/>
          <w:spacing w:val="-4"/>
          <w:sz w:val="32"/>
          <w:szCs w:val="24"/>
        </w:rPr>
        <w:t>时间</w:t>
      </w:r>
      <w:r>
        <w:rPr>
          <w:rFonts w:ascii="Times New Roman" w:eastAsia="仿宋_GB2312" w:hAnsi="Times New Roman" w:cs="Times New Roman"/>
          <w:spacing w:val="-4"/>
          <w:sz w:val="32"/>
          <w:szCs w:val="24"/>
        </w:rPr>
        <w:t>段出差，需分别填写不同的差旅费报销单；对于同一时间</w:t>
      </w:r>
      <w:r>
        <w:rPr>
          <w:rFonts w:ascii="Times New Roman" w:eastAsia="仿宋_GB2312" w:hAnsi="Times New Roman" w:cs="Times New Roman"/>
          <w:spacing w:val="-4"/>
          <w:sz w:val="32"/>
          <w:szCs w:val="24"/>
        </w:rPr>
        <w:lastRenderedPageBreak/>
        <w:t>段（趟</w:t>
      </w:r>
      <w:r>
        <w:rPr>
          <w:rFonts w:ascii="Times New Roman" w:eastAsia="仿宋_GB2312" w:hAnsi="Times New Roman" w:cs="Times New Roman"/>
          <w:spacing w:val="-4"/>
          <w:sz w:val="32"/>
          <w:szCs w:val="24"/>
        </w:rPr>
        <w:t>/</w:t>
      </w:r>
      <w:r>
        <w:rPr>
          <w:rFonts w:ascii="Times New Roman" w:eastAsia="仿宋_GB2312" w:hAnsi="Times New Roman" w:cs="Times New Roman"/>
          <w:spacing w:val="-4"/>
          <w:sz w:val="32"/>
          <w:szCs w:val="24"/>
        </w:rPr>
        <w:t>次）出差，有二项以上任务的，按时间顺序填写同一差旅费报销单。</w:t>
      </w:r>
    </w:p>
    <w:p w:rsidR="00CD203B" w:rsidRDefault="000B691D">
      <w:pPr>
        <w:adjustRightInd w:val="0"/>
        <w:snapToGrid w:val="0"/>
        <w:spacing w:line="360" w:lineRule="auto"/>
        <w:ind w:firstLineChars="200" w:firstLine="624"/>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出差人员实际发生住宿而无住宿费发票的，不得报销住宿费以及城市间交通费、伙食补助费和市内交通费。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第三十一条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出差人员只提供住宿费发票，而无来回城市间交通费的，原则上只报销住宿费，不发放伙食补助费和市内交通费；若出具对方单位负担城市间交通费用的有效证明或经单位负责人审批同意，可按规定标准发放伙食补助费和市内交通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第三十二条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出差人员因公出差应选择公共交通出行，出于安全考虑不提倡驾驶私家车出差。确因工作需要自驾车</w:t>
      </w:r>
      <w:r>
        <w:rPr>
          <w:rFonts w:ascii="Times New Roman" w:eastAsia="仿宋_GB2312" w:hAnsi="Times New Roman" w:cs="Times New Roman" w:hint="eastAsia"/>
          <w:spacing w:val="-4"/>
          <w:sz w:val="32"/>
          <w:szCs w:val="24"/>
        </w:rPr>
        <w:t>前往的，经单位负责人（或项目负责人）批准后，可据实报销过桥过路费、停车费，不再发放市内交通费。</w:t>
      </w:r>
      <w:r>
        <w:rPr>
          <w:rFonts w:ascii="Times New Roman" w:eastAsia="仿宋_GB2312" w:hAnsi="Times New Roman" w:cs="Times New Roman" w:hint="eastAsia"/>
          <w:spacing w:val="-4"/>
          <w:sz w:val="32"/>
          <w:szCs w:val="24"/>
        </w:rPr>
        <w:t>对于自驾车或者租车所引起的安全等问题，由出差人员承担。</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第三十三条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对于苏州市区</w:t>
      </w: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姑苏区、吴中区、相城区、高新区、工业园区、吴江区</w:t>
      </w: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发生的</w:t>
      </w:r>
      <w:r>
        <w:rPr>
          <w:rFonts w:ascii="Times New Roman" w:eastAsia="仿宋_GB2312" w:hAnsi="Times New Roman" w:cs="Times New Roman" w:hint="eastAsia"/>
          <w:spacing w:val="-4"/>
          <w:sz w:val="32"/>
          <w:szCs w:val="24"/>
        </w:rPr>
        <w:t>住</w:t>
      </w:r>
      <w:r>
        <w:rPr>
          <w:rFonts w:ascii="Times New Roman" w:eastAsia="仿宋_GB2312" w:hAnsi="Times New Roman" w:cs="Times New Roman"/>
          <w:spacing w:val="-4"/>
          <w:sz w:val="32"/>
          <w:szCs w:val="24"/>
        </w:rPr>
        <w:t>宿费原则上不</w:t>
      </w:r>
      <w:r>
        <w:rPr>
          <w:rFonts w:ascii="Times New Roman" w:eastAsia="仿宋_GB2312" w:hAnsi="Times New Roman" w:cs="Times New Roman" w:hint="eastAsia"/>
          <w:spacing w:val="-4"/>
          <w:sz w:val="32"/>
          <w:szCs w:val="24"/>
        </w:rPr>
        <w:t>予</w:t>
      </w:r>
      <w:r>
        <w:rPr>
          <w:rFonts w:ascii="Times New Roman" w:eastAsia="仿宋_GB2312" w:hAnsi="Times New Roman" w:cs="Times New Roman"/>
          <w:spacing w:val="-4"/>
          <w:sz w:val="32"/>
          <w:szCs w:val="24"/>
        </w:rPr>
        <w:t>报销，确因工作需要，到盛泽镇、震泽镇、东山镇、金庭镇、望亭镇、北桥街道等地公务出差所发生的住宿费，可按规定标准报销，不发放伙食补助费和市内交通费。</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第三十四条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实际发生城市</w:t>
      </w:r>
      <w:r>
        <w:rPr>
          <w:rFonts w:ascii="Times New Roman" w:eastAsia="仿宋_GB2312" w:hAnsi="Times New Roman" w:cs="Times New Roman" w:hint="eastAsia"/>
          <w:spacing w:val="-4"/>
          <w:sz w:val="32"/>
          <w:szCs w:val="24"/>
        </w:rPr>
        <w:t>间</w:t>
      </w:r>
      <w:r>
        <w:rPr>
          <w:rFonts w:ascii="Times New Roman" w:eastAsia="仿宋_GB2312" w:hAnsi="Times New Roman" w:cs="Times New Roman"/>
          <w:spacing w:val="-4"/>
          <w:sz w:val="32"/>
          <w:szCs w:val="24"/>
        </w:rPr>
        <w:t>交通费用而车船票遗失</w:t>
      </w:r>
      <w:r>
        <w:rPr>
          <w:rFonts w:ascii="Times New Roman" w:eastAsia="仿宋_GB2312" w:hAnsi="Times New Roman" w:cs="Times New Roman" w:hint="eastAsia"/>
          <w:spacing w:val="-4"/>
          <w:sz w:val="32"/>
          <w:szCs w:val="24"/>
        </w:rPr>
        <w:t>的，须提供订票记录或购票凭证和付款记录等证明材料，以及书面情况</w:t>
      </w:r>
      <w:r>
        <w:rPr>
          <w:rFonts w:ascii="Times New Roman" w:eastAsia="仿宋_GB2312" w:hAnsi="Times New Roman" w:cs="Times New Roman" w:hint="eastAsia"/>
          <w:spacing w:val="-4"/>
          <w:sz w:val="32"/>
          <w:szCs w:val="24"/>
        </w:rPr>
        <w:lastRenderedPageBreak/>
        <w:t>说明，经单位负责人审批后方可报销。</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第三十五条</w:t>
      </w:r>
      <w:r>
        <w:rPr>
          <w:rFonts w:ascii="Times New Roman" w:eastAsia="仿宋_GB2312" w:hAnsi="Times New Roman" w:cs="Times New Roman" w:hint="eastAsia"/>
          <w:spacing w:val="-4"/>
          <w:sz w:val="32"/>
          <w:szCs w:val="24"/>
        </w:rPr>
        <w:t xml:space="preserve"> </w:t>
      </w:r>
      <w:r>
        <w:rPr>
          <w:rFonts w:ascii="Times New Roman" w:eastAsia="仿宋_GB2312" w:hAnsi="Times New Roman" w:cs="Times New Roman" w:hint="eastAsia"/>
          <w:spacing w:val="-4"/>
          <w:sz w:val="32"/>
          <w:szCs w:val="24"/>
        </w:rPr>
        <w:t>因公临时出差原则上不预借现金。如因特殊原因需要预借差旅费的，按规定</w:t>
      </w:r>
      <w:r>
        <w:rPr>
          <w:rFonts w:ascii="Times New Roman" w:eastAsia="仿宋_GB2312" w:hAnsi="Times New Roman" w:cs="Times New Roman"/>
          <w:spacing w:val="-4"/>
          <w:sz w:val="32"/>
          <w:szCs w:val="24"/>
        </w:rPr>
        <w:t>履行借款审批手续，在出差返校后</w:t>
      </w:r>
      <w:r>
        <w:rPr>
          <w:rFonts w:ascii="Times New Roman" w:eastAsia="仿宋_GB2312" w:hAnsi="Times New Roman" w:cs="Times New Roman"/>
          <w:spacing w:val="-4"/>
          <w:sz w:val="32"/>
          <w:szCs w:val="24"/>
        </w:rPr>
        <w:t>30</w:t>
      </w:r>
      <w:r>
        <w:rPr>
          <w:rFonts w:ascii="Times New Roman" w:eastAsia="仿宋_GB2312" w:hAnsi="Times New Roman" w:cs="Times New Roman"/>
          <w:spacing w:val="-4"/>
          <w:sz w:val="32"/>
          <w:szCs w:val="24"/>
        </w:rPr>
        <w:t>天内结清借款。</w:t>
      </w:r>
    </w:p>
    <w:p w:rsidR="00CD203B" w:rsidRDefault="00CD203B">
      <w:pPr>
        <w:adjustRightInd w:val="0"/>
        <w:snapToGrid w:val="0"/>
        <w:spacing w:line="360" w:lineRule="auto"/>
        <w:jc w:val="left"/>
        <w:rPr>
          <w:rFonts w:ascii="Times New Roman" w:eastAsia="仿宋_GB2312" w:hAnsi="Times New Roman" w:cs="Times New Roman"/>
          <w:spacing w:val="-4"/>
          <w:sz w:val="32"/>
          <w:szCs w:val="24"/>
        </w:rPr>
      </w:pPr>
    </w:p>
    <w:p w:rsidR="00CD203B" w:rsidRDefault="000B691D">
      <w:pPr>
        <w:adjustRightInd w:val="0"/>
        <w:snapToGrid w:val="0"/>
        <w:spacing w:line="360" w:lineRule="auto"/>
        <w:ind w:firstLineChars="200" w:firstLine="704"/>
        <w:jc w:val="center"/>
        <w:rPr>
          <w:rFonts w:ascii="Times New Roman" w:eastAsia="黑体" w:hAnsi="Times New Roman" w:cs="Times New Roman"/>
          <w:spacing w:val="-4"/>
          <w:sz w:val="36"/>
          <w:szCs w:val="36"/>
        </w:rPr>
      </w:pPr>
      <w:r>
        <w:rPr>
          <w:rFonts w:ascii="Times New Roman" w:eastAsia="黑体" w:hAnsi="Times New Roman" w:cs="Times New Roman" w:hint="eastAsia"/>
          <w:spacing w:val="-4"/>
          <w:sz w:val="36"/>
          <w:szCs w:val="36"/>
        </w:rPr>
        <w:t>第八章</w:t>
      </w:r>
      <w:r>
        <w:rPr>
          <w:rFonts w:ascii="Times New Roman" w:eastAsia="黑体" w:hAnsi="Times New Roman" w:cs="Times New Roman"/>
          <w:spacing w:val="-4"/>
          <w:sz w:val="36"/>
          <w:szCs w:val="36"/>
        </w:rPr>
        <w:t xml:space="preserve">  </w:t>
      </w:r>
      <w:r>
        <w:rPr>
          <w:rFonts w:ascii="Times New Roman" w:eastAsia="黑体" w:hAnsi="Times New Roman" w:cs="Times New Roman"/>
          <w:spacing w:val="-4"/>
          <w:sz w:val="36"/>
          <w:szCs w:val="36"/>
        </w:rPr>
        <w:t>监管、监督和问责</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第三十六条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各单位应当加强对本单位工作人员出差活动和费用报销的内控管理，建立健全本单位的出差审批制度，加强对差旅费报销的审核把关，督促、审查出差人员合理、合规报销差旅费。对未经批准擅自出</w:t>
      </w:r>
      <w:r>
        <w:rPr>
          <w:rFonts w:ascii="Times New Roman" w:eastAsia="仿宋_GB2312" w:hAnsi="Times New Roman" w:cs="Times New Roman"/>
          <w:spacing w:val="-4"/>
          <w:sz w:val="32"/>
          <w:szCs w:val="24"/>
        </w:rPr>
        <w:t>差、不按规定开支</w:t>
      </w:r>
      <w:r>
        <w:rPr>
          <w:rFonts w:ascii="Times New Roman" w:eastAsia="仿宋_GB2312" w:hAnsi="Times New Roman" w:cs="Times New Roman" w:hint="eastAsia"/>
          <w:spacing w:val="-4"/>
          <w:sz w:val="32"/>
          <w:szCs w:val="24"/>
        </w:rPr>
        <w:t>和报销差旅费的相关人员进行严肃处理。</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第三十七条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学校纪委办、审计处、</w:t>
      </w:r>
      <w:r>
        <w:rPr>
          <w:rFonts w:ascii="Times New Roman" w:eastAsia="仿宋_GB2312" w:hAnsi="Times New Roman" w:cs="Times New Roman" w:hint="eastAsia"/>
          <w:spacing w:val="-4"/>
          <w:sz w:val="32"/>
          <w:szCs w:val="24"/>
        </w:rPr>
        <w:t>国有资产与</w:t>
      </w:r>
      <w:r>
        <w:rPr>
          <w:rFonts w:ascii="Times New Roman" w:eastAsia="仿宋_GB2312" w:hAnsi="Times New Roman" w:cs="Times New Roman"/>
          <w:spacing w:val="-4"/>
          <w:sz w:val="32"/>
          <w:szCs w:val="24"/>
        </w:rPr>
        <w:t>财务</w:t>
      </w:r>
      <w:r>
        <w:rPr>
          <w:rFonts w:ascii="Times New Roman" w:eastAsia="仿宋_GB2312" w:hAnsi="Times New Roman" w:cs="Times New Roman" w:hint="eastAsia"/>
          <w:spacing w:val="-4"/>
          <w:sz w:val="32"/>
          <w:szCs w:val="24"/>
        </w:rPr>
        <w:t>管理</w:t>
      </w:r>
      <w:r>
        <w:rPr>
          <w:rFonts w:ascii="Times New Roman" w:eastAsia="仿宋_GB2312" w:hAnsi="Times New Roman" w:cs="Times New Roman"/>
          <w:spacing w:val="-4"/>
          <w:sz w:val="32"/>
          <w:szCs w:val="24"/>
        </w:rPr>
        <w:t>处等</w:t>
      </w:r>
      <w:r>
        <w:rPr>
          <w:rFonts w:ascii="Times New Roman" w:eastAsia="仿宋_GB2312" w:hAnsi="Times New Roman" w:cs="Times New Roman" w:hint="eastAsia"/>
          <w:spacing w:val="-4"/>
          <w:sz w:val="32"/>
          <w:szCs w:val="24"/>
        </w:rPr>
        <w:t>部门要加强对差旅费管理和使用</w:t>
      </w:r>
      <w:r>
        <w:rPr>
          <w:rFonts w:ascii="Times New Roman" w:eastAsia="仿宋_GB2312" w:hAnsi="Times New Roman" w:cs="Times New Roman" w:hint="eastAsia"/>
          <w:spacing w:val="-4"/>
          <w:sz w:val="32"/>
          <w:szCs w:val="24"/>
        </w:rPr>
        <w:t>情况</w:t>
      </w:r>
      <w:r>
        <w:rPr>
          <w:rFonts w:ascii="Times New Roman" w:eastAsia="仿宋_GB2312" w:hAnsi="Times New Roman" w:cs="Times New Roman" w:hint="eastAsia"/>
          <w:spacing w:val="-4"/>
          <w:sz w:val="32"/>
          <w:szCs w:val="24"/>
        </w:rPr>
        <w:t>的监督检查，发现问题及时处理。各单位和出差人员应当自觉接受学校有关部门对出差活动及相关经费支出的审计、监督检查。</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第三十八条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hint="eastAsia"/>
          <w:spacing w:val="-4"/>
          <w:sz w:val="32"/>
          <w:szCs w:val="24"/>
        </w:rPr>
        <w:t>出差人员不得向接待单位提出正常公务活动以外的要求，不得在出差期间接受违反规定用公款支付的宴请、游览和非工作需要的参观，不得接受礼品、礼金和土特产品等。</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第三十九条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有下列情形之一的，学校有关部门依法依</w:t>
      </w:r>
      <w:r>
        <w:rPr>
          <w:rFonts w:ascii="Times New Roman" w:eastAsia="仿宋_GB2312" w:hAnsi="Times New Roman" w:cs="Times New Roman" w:hint="eastAsia"/>
          <w:spacing w:val="-4"/>
          <w:sz w:val="32"/>
          <w:szCs w:val="24"/>
        </w:rPr>
        <w:t>规追究单位和相关人员的责任，追回违规资金，并视情况予以通报：</w:t>
      </w:r>
      <w:r>
        <w:rPr>
          <w:rFonts w:ascii="Times New Roman" w:eastAsia="仿宋_GB2312" w:hAnsi="Times New Roman" w:cs="Times New Roman" w:hint="eastAsia"/>
          <w:spacing w:val="-4"/>
          <w:sz w:val="32"/>
          <w:szCs w:val="24"/>
        </w:rPr>
        <w:lastRenderedPageBreak/>
        <w:t>对直接责任人和相关负责人，报请学校按规定给予纪律处分；涉嫌违法的，移送司法机关处理。</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spacing w:val="-4"/>
          <w:sz w:val="32"/>
          <w:szCs w:val="24"/>
        </w:rPr>
        <w:t>（一）出差审批控制不严的；</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（二）虚</w:t>
      </w:r>
      <w:r>
        <w:rPr>
          <w:rFonts w:ascii="Times New Roman" w:eastAsia="仿宋_GB2312" w:hAnsi="Times New Roman" w:cs="Times New Roman" w:hint="eastAsia"/>
          <w:spacing w:val="-4"/>
          <w:sz w:val="32"/>
          <w:szCs w:val="24"/>
        </w:rPr>
        <w:t>报出差人数、天数等信息冒领差旅费的；</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spacing w:val="-4"/>
          <w:sz w:val="32"/>
          <w:szCs w:val="24"/>
        </w:rPr>
        <w:t>（三）擅自扩大差旅费开支</w:t>
      </w:r>
      <w:r>
        <w:rPr>
          <w:rFonts w:ascii="Times New Roman" w:eastAsia="仿宋_GB2312" w:hAnsi="Times New Roman" w:cs="Times New Roman" w:hint="eastAsia"/>
          <w:spacing w:val="-4"/>
          <w:sz w:val="32"/>
          <w:szCs w:val="24"/>
        </w:rPr>
        <w:t>范围</w:t>
      </w:r>
      <w:r>
        <w:rPr>
          <w:rFonts w:ascii="Times New Roman" w:eastAsia="仿宋_GB2312" w:hAnsi="Times New Roman" w:cs="Times New Roman"/>
          <w:spacing w:val="-4"/>
          <w:sz w:val="32"/>
          <w:szCs w:val="24"/>
        </w:rPr>
        <w:t>和提高开支标准的；</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spacing w:val="-4"/>
          <w:sz w:val="32"/>
          <w:szCs w:val="24"/>
        </w:rPr>
        <w:t>（四）重复报销差旅费的；</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spacing w:val="-4"/>
          <w:sz w:val="32"/>
          <w:szCs w:val="24"/>
        </w:rPr>
        <w:t>（五）在差旅费中</w:t>
      </w:r>
      <w:r>
        <w:rPr>
          <w:rFonts w:ascii="Times New Roman" w:eastAsia="仿宋_GB2312" w:hAnsi="Times New Roman" w:cs="Times New Roman" w:hint="eastAsia"/>
          <w:spacing w:val="-4"/>
          <w:sz w:val="32"/>
          <w:szCs w:val="24"/>
        </w:rPr>
        <w:t>报销</w:t>
      </w:r>
      <w:r>
        <w:rPr>
          <w:rFonts w:ascii="Times New Roman" w:eastAsia="仿宋_GB2312" w:hAnsi="Times New Roman" w:cs="Times New Roman"/>
          <w:spacing w:val="-4"/>
          <w:sz w:val="32"/>
          <w:szCs w:val="24"/>
        </w:rPr>
        <w:t>应由个人承担的费用的：</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（六）其他违反本办法的行为。</w:t>
      </w:r>
    </w:p>
    <w:p w:rsidR="00CD203B" w:rsidRDefault="00CD203B">
      <w:pPr>
        <w:adjustRightInd w:val="0"/>
        <w:snapToGrid w:val="0"/>
        <w:spacing w:line="360" w:lineRule="auto"/>
        <w:jc w:val="left"/>
        <w:rPr>
          <w:rFonts w:ascii="Times New Roman" w:eastAsia="仿宋_GB2312" w:hAnsi="Times New Roman" w:cs="Times New Roman"/>
          <w:spacing w:val="-4"/>
          <w:sz w:val="32"/>
          <w:szCs w:val="24"/>
        </w:rPr>
      </w:pPr>
    </w:p>
    <w:p w:rsidR="00CD203B" w:rsidRDefault="000B691D">
      <w:pPr>
        <w:adjustRightInd w:val="0"/>
        <w:snapToGrid w:val="0"/>
        <w:spacing w:line="360" w:lineRule="auto"/>
        <w:ind w:firstLineChars="200" w:firstLine="704"/>
        <w:jc w:val="center"/>
        <w:rPr>
          <w:rFonts w:ascii="Times New Roman" w:eastAsia="黑体" w:hAnsi="Times New Roman" w:cs="Times New Roman"/>
          <w:spacing w:val="-4"/>
          <w:sz w:val="36"/>
          <w:szCs w:val="36"/>
        </w:rPr>
      </w:pPr>
      <w:r>
        <w:rPr>
          <w:rFonts w:ascii="Times New Roman" w:eastAsia="黑体" w:hAnsi="Times New Roman" w:cs="Times New Roman" w:hint="eastAsia"/>
          <w:spacing w:val="-4"/>
          <w:sz w:val="36"/>
          <w:szCs w:val="36"/>
        </w:rPr>
        <w:t>第九章</w:t>
      </w:r>
      <w:r>
        <w:rPr>
          <w:rFonts w:ascii="Times New Roman" w:eastAsia="黑体" w:hAnsi="Times New Roman" w:cs="Times New Roman" w:hint="eastAsia"/>
          <w:spacing w:val="-4"/>
          <w:sz w:val="36"/>
          <w:szCs w:val="36"/>
        </w:rPr>
        <w:t xml:space="preserve"> </w:t>
      </w:r>
      <w:r>
        <w:rPr>
          <w:rFonts w:ascii="Times New Roman" w:eastAsia="黑体" w:hAnsi="Times New Roman" w:cs="Times New Roman"/>
          <w:spacing w:val="-4"/>
          <w:sz w:val="36"/>
          <w:szCs w:val="36"/>
        </w:rPr>
        <w:t xml:space="preserve"> </w:t>
      </w:r>
      <w:r>
        <w:rPr>
          <w:rFonts w:ascii="Times New Roman" w:eastAsia="黑体" w:hAnsi="Times New Roman" w:cs="Times New Roman" w:hint="eastAsia"/>
          <w:spacing w:val="-4"/>
          <w:sz w:val="36"/>
          <w:szCs w:val="36"/>
        </w:rPr>
        <w:t>附</w:t>
      </w:r>
      <w:r>
        <w:rPr>
          <w:rFonts w:ascii="Times New Roman" w:eastAsia="黑体" w:hAnsi="Times New Roman" w:cs="Times New Roman" w:hint="eastAsia"/>
          <w:spacing w:val="-4"/>
          <w:sz w:val="36"/>
          <w:szCs w:val="36"/>
        </w:rPr>
        <w:t xml:space="preserve"> </w:t>
      </w:r>
      <w:r>
        <w:rPr>
          <w:rFonts w:ascii="Times New Roman" w:eastAsia="黑体" w:hAnsi="Times New Roman" w:cs="Times New Roman" w:hint="eastAsia"/>
          <w:spacing w:val="-4"/>
          <w:sz w:val="36"/>
          <w:szCs w:val="36"/>
        </w:rPr>
        <w:t>则</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第四十条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本办法由</w:t>
      </w:r>
      <w:r>
        <w:rPr>
          <w:rFonts w:ascii="Times New Roman" w:eastAsia="仿宋_GB2312" w:hAnsi="Times New Roman" w:cs="Times New Roman" w:hint="eastAsia"/>
          <w:spacing w:val="-4"/>
          <w:sz w:val="32"/>
          <w:szCs w:val="24"/>
        </w:rPr>
        <w:t>国有资产与</w:t>
      </w:r>
      <w:r>
        <w:rPr>
          <w:rFonts w:ascii="Times New Roman" w:eastAsia="仿宋_GB2312" w:hAnsi="Times New Roman" w:cs="Times New Roman"/>
          <w:spacing w:val="-4"/>
          <w:sz w:val="32"/>
          <w:szCs w:val="24"/>
        </w:rPr>
        <w:t>财务</w:t>
      </w:r>
      <w:r>
        <w:rPr>
          <w:rFonts w:ascii="Times New Roman" w:eastAsia="仿宋_GB2312" w:hAnsi="Times New Roman" w:cs="Times New Roman" w:hint="eastAsia"/>
          <w:spacing w:val="-4"/>
          <w:sz w:val="32"/>
          <w:szCs w:val="24"/>
        </w:rPr>
        <w:t>管理</w:t>
      </w:r>
      <w:r>
        <w:rPr>
          <w:rFonts w:ascii="Times New Roman" w:eastAsia="仿宋_GB2312" w:hAnsi="Times New Roman" w:cs="Times New Roman"/>
          <w:spacing w:val="-4"/>
          <w:sz w:val="32"/>
          <w:szCs w:val="24"/>
        </w:rPr>
        <w:t>处负责解释。</w:t>
      </w:r>
    </w:p>
    <w:p w:rsidR="00CD203B" w:rsidRDefault="000B691D">
      <w:pPr>
        <w:adjustRightInd w:val="0"/>
        <w:snapToGrid w:val="0"/>
        <w:spacing w:line="360" w:lineRule="auto"/>
        <w:ind w:firstLineChars="200" w:firstLine="624"/>
        <w:jc w:val="lef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第四十一条</w:t>
      </w:r>
      <w:r>
        <w:rPr>
          <w:rFonts w:ascii="Times New Roman" w:eastAsia="仿宋_GB2312" w:hAnsi="Times New Roman" w:cs="Times New Roman"/>
          <w:spacing w:val="-4"/>
          <w:sz w:val="32"/>
          <w:szCs w:val="24"/>
        </w:rPr>
        <w:t xml:space="preserve"> </w:t>
      </w:r>
      <w:r>
        <w:rPr>
          <w:rFonts w:ascii="Times New Roman" w:eastAsia="仿宋_GB2312" w:hAnsi="Times New Roman" w:cs="Times New Roman"/>
          <w:spacing w:val="-4"/>
          <w:sz w:val="32"/>
          <w:szCs w:val="24"/>
        </w:rPr>
        <w:t>本办法自</w:t>
      </w:r>
      <w:r>
        <w:rPr>
          <w:rFonts w:ascii="Times New Roman" w:eastAsia="仿宋_GB2312" w:hAnsi="Times New Roman" w:cs="Times New Roman" w:hint="eastAsia"/>
          <w:spacing w:val="-4"/>
          <w:sz w:val="32"/>
          <w:szCs w:val="24"/>
        </w:rPr>
        <w:t>发布之日起</w:t>
      </w:r>
      <w:r>
        <w:rPr>
          <w:rFonts w:ascii="Times New Roman" w:eastAsia="仿宋_GB2312" w:hAnsi="Times New Roman" w:cs="Times New Roman"/>
          <w:spacing w:val="-4"/>
          <w:sz w:val="32"/>
          <w:szCs w:val="24"/>
        </w:rPr>
        <w:t>执行。</w:t>
      </w:r>
    </w:p>
    <w:p w:rsidR="00CD203B" w:rsidRDefault="00CD203B">
      <w:pPr>
        <w:adjustRightInd w:val="0"/>
        <w:snapToGrid w:val="0"/>
        <w:spacing w:line="360" w:lineRule="auto"/>
        <w:jc w:val="left"/>
        <w:rPr>
          <w:rFonts w:ascii="宋体" w:eastAsia="宋体" w:hAnsi="宋体" w:cs="宋体"/>
          <w:color w:val="333333"/>
          <w:kern w:val="0"/>
          <w:sz w:val="30"/>
          <w:szCs w:val="30"/>
        </w:rPr>
      </w:pPr>
    </w:p>
    <w:p w:rsidR="00CD203B" w:rsidRDefault="000B691D">
      <w:pPr>
        <w:widowControl/>
        <w:jc w:val="left"/>
        <w:rPr>
          <w:rFonts w:ascii="宋体" w:eastAsia="宋体" w:hAnsi="宋体"/>
          <w:sz w:val="30"/>
          <w:szCs w:val="30"/>
        </w:rPr>
      </w:pPr>
      <w:r>
        <w:rPr>
          <w:rFonts w:ascii="宋体" w:eastAsia="宋体" w:hAnsi="宋体"/>
          <w:sz w:val="30"/>
          <w:szCs w:val="30"/>
        </w:rPr>
        <w:br w:type="page"/>
      </w:r>
    </w:p>
    <w:p w:rsidR="00CD203B" w:rsidRDefault="000B691D">
      <w:pPr>
        <w:jc w:val="left"/>
        <w:rPr>
          <w:rFonts w:ascii="方正小标宋_GBK" w:eastAsia="方正小标宋_GBK" w:hAnsi="宋体" w:cs="宋体"/>
          <w:color w:val="000000"/>
          <w:kern w:val="0"/>
          <w:sz w:val="32"/>
          <w:szCs w:val="32"/>
        </w:rPr>
      </w:pPr>
      <w:r>
        <w:rPr>
          <w:rFonts w:ascii="方正小标宋_GBK" w:eastAsia="方正小标宋_GBK" w:hAnsi="宋体" w:cs="宋体" w:hint="eastAsia"/>
          <w:color w:val="000000"/>
          <w:kern w:val="0"/>
          <w:sz w:val="32"/>
          <w:szCs w:val="32"/>
        </w:rPr>
        <w:lastRenderedPageBreak/>
        <w:t>附件：</w:t>
      </w:r>
    </w:p>
    <w:p w:rsidR="00CD203B" w:rsidRDefault="00CD203B">
      <w:pPr>
        <w:jc w:val="left"/>
        <w:rPr>
          <w:rFonts w:ascii="方正小标宋_GBK" w:eastAsia="方正小标宋_GBK" w:hAnsi="宋体" w:cs="宋体"/>
          <w:color w:val="000000"/>
          <w:kern w:val="0"/>
          <w:sz w:val="10"/>
          <w:szCs w:val="10"/>
        </w:rPr>
      </w:pPr>
    </w:p>
    <w:p w:rsidR="00CD203B" w:rsidRDefault="000B691D">
      <w:pPr>
        <w:adjustRightInd w:val="0"/>
        <w:snapToGrid w:val="0"/>
        <w:jc w:val="center"/>
        <w:rPr>
          <w:rFonts w:ascii="仿宋" w:eastAsia="仿宋" w:hAnsi="仿宋"/>
          <w:b/>
          <w:sz w:val="44"/>
          <w:szCs w:val="44"/>
        </w:rPr>
      </w:pPr>
      <w:r>
        <w:rPr>
          <w:rFonts w:ascii="仿宋" w:eastAsia="仿宋" w:hAnsi="仿宋" w:hint="eastAsia"/>
          <w:b/>
          <w:sz w:val="44"/>
          <w:szCs w:val="44"/>
        </w:rPr>
        <w:t>苏州城市学院国内差旅住宿费标准明细表</w:t>
      </w:r>
    </w:p>
    <w:p w:rsidR="00CD203B" w:rsidRDefault="00CD203B">
      <w:pPr>
        <w:adjustRightInd w:val="0"/>
        <w:snapToGrid w:val="0"/>
        <w:jc w:val="center"/>
        <w:rPr>
          <w:rFonts w:ascii="仿宋" w:eastAsia="仿宋" w:hAnsi="仿宋"/>
          <w:b/>
          <w:sz w:val="10"/>
          <w:szCs w:val="10"/>
        </w:rPr>
      </w:pPr>
    </w:p>
    <w:p w:rsidR="00CD203B" w:rsidRDefault="000B691D">
      <w:pPr>
        <w:jc w:val="right"/>
        <w:rPr>
          <w:rFonts w:ascii="Times New Roman" w:eastAsia="仿宋_GB2312" w:hAnsi="Times New Roman" w:cs="Times New Roman"/>
          <w:spacing w:val="-4"/>
          <w:sz w:val="32"/>
          <w:szCs w:val="24"/>
        </w:rPr>
      </w:pPr>
      <w:r>
        <w:rPr>
          <w:rFonts w:ascii="Times New Roman" w:eastAsia="仿宋_GB2312" w:hAnsi="Times New Roman" w:cs="Times New Roman" w:hint="eastAsia"/>
          <w:spacing w:val="-4"/>
          <w:sz w:val="32"/>
          <w:szCs w:val="24"/>
        </w:rPr>
        <w:t>单位</w:t>
      </w:r>
      <w:r>
        <w:rPr>
          <w:rFonts w:ascii="Times New Roman" w:eastAsia="仿宋_GB2312" w:hAnsi="Times New Roman" w:cs="Times New Roman" w:hint="eastAsia"/>
          <w:spacing w:val="-4"/>
          <w:sz w:val="32"/>
          <w:szCs w:val="24"/>
        </w:rPr>
        <w:t>：</w:t>
      </w:r>
      <w:r>
        <w:rPr>
          <w:rFonts w:ascii="Times New Roman" w:eastAsia="仿宋_GB2312" w:hAnsi="Times New Roman" w:cs="Times New Roman"/>
          <w:spacing w:val="-4"/>
          <w:sz w:val="32"/>
          <w:szCs w:val="24"/>
        </w:rPr>
        <w:t>元</w:t>
      </w:r>
      <w:r>
        <w:rPr>
          <w:rFonts w:ascii="Times New Roman" w:eastAsia="仿宋_GB2312" w:hAnsi="Times New Roman" w:cs="Times New Roman"/>
          <w:spacing w:val="-4"/>
          <w:sz w:val="32"/>
          <w:szCs w:val="24"/>
        </w:rPr>
        <w:t>/</w:t>
      </w:r>
      <w:r>
        <w:rPr>
          <w:rFonts w:ascii="Times New Roman" w:eastAsia="仿宋_GB2312" w:hAnsi="Times New Roman" w:cs="Times New Roman"/>
          <w:spacing w:val="-4"/>
          <w:sz w:val="32"/>
          <w:szCs w:val="24"/>
        </w:rPr>
        <w:t>人</w:t>
      </w:r>
      <w:r>
        <w:rPr>
          <w:rFonts w:ascii="Times New Roman" w:eastAsia="仿宋_GB2312" w:hAnsi="Times New Roman" w:cs="Times New Roman"/>
          <w:spacing w:val="-4"/>
          <w:sz w:val="32"/>
          <w:szCs w:val="24"/>
        </w:rPr>
        <w:t>·</w:t>
      </w:r>
      <w:r>
        <w:rPr>
          <w:rFonts w:ascii="Times New Roman" w:eastAsia="仿宋_GB2312" w:hAnsi="Times New Roman" w:cs="Times New Roman"/>
          <w:spacing w:val="-4"/>
          <w:sz w:val="32"/>
          <w:szCs w:val="24"/>
        </w:rPr>
        <w:t>天</w:t>
      </w:r>
    </w:p>
    <w:p w:rsidR="00CD203B" w:rsidRDefault="00CD203B">
      <w:pPr>
        <w:jc w:val="right"/>
        <w:rPr>
          <w:rFonts w:ascii="Times New Roman" w:eastAsia="仿宋_GB2312" w:hAnsi="Times New Roman" w:cs="Times New Roman"/>
          <w:spacing w:val="-4"/>
          <w:sz w:val="10"/>
          <w:szCs w:val="10"/>
        </w:rPr>
      </w:pPr>
    </w:p>
    <w:tbl>
      <w:tblPr>
        <w:tblW w:w="10915" w:type="dxa"/>
        <w:tblInd w:w="-1281" w:type="dxa"/>
        <w:tblLayout w:type="fixed"/>
        <w:tblLook w:val="04A0" w:firstRow="1" w:lastRow="0" w:firstColumn="1" w:lastColumn="0" w:noHBand="0" w:noVBand="1"/>
      </w:tblPr>
      <w:tblGrid>
        <w:gridCol w:w="567"/>
        <w:gridCol w:w="677"/>
        <w:gridCol w:w="1792"/>
        <w:gridCol w:w="968"/>
        <w:gridCol w:w="968"/>
        <w:gridCol w:w="969"/>
        <w:gridCol w:w="1289"/>
        <w:gridCol w:w="781"/>
        <w:gridCol w:w="968"/>
        <w:gridCol w:w="968"/>
        <w:gridCol w:w="968"/>
      </w:tblGrid>
      <w:tr w:rsidR="00CD203B">
        <w:trPr>
          <w:trHeight w:val="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2469" w:type="dxa"/>
            <w:gridSpan w:val="2"/>
            <w:vMerge w:val="restart"/>
            <w:tcBorders>
              <w:top w:val="single" w:sz="4" w:space="0" w:color="auto"/>
              <w:left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地区</w:t>
            </w:r>
          </w:p>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（城市）</w:t>
            </w:r>
          </w:p>
        </w:tc>
        <w:tc>
          <w:tcPr>
            <w:tcW w:w="290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住宿费标准</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旺季地区</w:t>
            </w:r>
          </w:p>
        </w:tc>
        <w:tc>
          <w:tcPr>
            <w:tcW w:w="3685" w:type="dxa"/>
            <w:gridSpan w:val="4"/>
            <w:tcBorders>
              <w:top w:val="single" w:sz="4" w:space="0" w:color="auto"/>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旺季浮动标准</w:t>
            </w:r>
          </w:p>
        </w:tc>
      </w:tr>
      <w:tr w:rsidR="00CD203B">
        <w:trPr>
          <w:trHeight w:val="270"/>
        </w:trPr>
        <w:tc>
          <w:tcPr>
            <w:tcW w:w="567" w:type="dxa"/>
            <w:vMerge/>
            <w:tcBorders>
              <w:top w:val="single" w:sz="4" w:space="0" w:color="auto"/>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2469" w:type="dxa"/>
            <w:gridSpan w:val="2"/>
            <w:vMerge/>
            <w:tcBorders>
              <w:left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2905" w:type="dxa"/>
            <w:gridSpan w:val="3"/>
            <w:vMerge/>
            <w:tcBorders>
              <w:top w:val="single" w:sz="4" w:space="0" w:color="auto"/>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289" w:type="dxa"/>
            <w:vMerge/>
            <w:tcBorders>
              <w:top w:val="single" w:sz="4" w:space="0" w:color="auto"/>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781"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旺季</w:t>
            </w:r>
          </w:p>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期间</w:t>
            </w:r>
          </w:p>
        </w:tc>
        <w:tc>
          <w:tcPr>
            <w:tcW w:w="2904" w:type="dxa"/>
            <w:gridSpan w:val="3"/>
            <w:tcBorders>
              <w:top w:val="single" w:sz="4" w:space="0" w:color="auto"/>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旺季上浮价</w:t>
            </w:r>
          </w:p>
        </w:tc>
      </w:tr>
      <w:tr w:rsidR="00CD203B">
        <w:trPr>
          <w:trHeight w:val="2334"/>
        </w:trPr>
        <w:tc>
          <w:tcPr>
            <w:tcW w:w="567" w:type="dxa"/>
            <w:vMerge/>
            <w:tcBorders>
              <w:top w:val="single" w:sz="4" w:space="0" w:color="auto"/>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2469" w:type="dxa"/>
            <w:gridSpan w:val="2"/>
            <w:vMerge/>
            <w:tcBorders>
              <w:left w:val="single" w:sz="4" w:space="0" w:color="auto"/>
              <w:bottom w:val="single" w:sz="4" w:space="0" w:color="auto"/>
              <w:right w:val="single" w:sz="4" w:space="0" w:color="auto"/>
            </w:tcBorders>
            <w:vAlign w:val="center"/>
          </w:tcPr>
          <w:p w:rsidR="00CD203B" w:rsidRDefault="00CD203B">
            <w:pPr>
              <w:widowControl/>
              <w:jc w:val="center"/>
              <w:rPr>
                <w:rFonts w:ascii="宋体" w:eastAsia="宋体" w:hAnsi="宋体" w:cs="宋体"/>
                <w:b/>
                <w:bCs/>
                <w:color w:val="000000"/>
                <w:kern w:val="0"/>
                <w:sz w:val="20"/>
                <w:szCs w:val="20"/>
              </w:rPr>
            </w:pPr>
          </w:p>
        </w:tc>
        <w:tc>
          <w:tcPr>
            <w:tcW w:w="968" w:type="dxa"/>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b/>
                <w:bCs/>
                <w:color w:val="000000"/>
                <w:kern w:val="0"/>
                <w:sz w:val="20"/>
                <w:szCs w:val="20"/>
              </w:rPr>
              <w:t>1</w:t>
            </w:r>
            <w:r>
              <w:rPr>
                <w:rFonts w:ascii="宋体" w:eastAsia="宋体" w:hAnsi="宋体" w:cs="宋体"/>
                <w:b/>
                <w:bCs/>
                <w:color w:val="000000"/>
                <w:kern w:val="0"/>
                <w:sz w:val="20"/>
                <w:szCs w:val="20"/>
              </w:rPr>
              <w:t>、省部级干部</w:t>
            </w:r>
          </w:p>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b/>
                <w:bCs/>
                <w:color w:val="000000"/>
                <w:kern w:val="0"/>
                <w:sz w:val="20"/>
                <w:szCs w:val="20"/>
              </w:rPr>
              <w:t>2</w:t>
            </w:r>
            <w:r>
              <w:rPr>
                <w:rFonts w:ascii="宋体" w:eastAsia="宋体" w:hAnsi="宋体" w:cs="宋体"/>
                <w:b/>
                <w:bCs/>
                <w:color w:val="000000"/>
                <w:kern w:val="0"/>
                <w:sz w:val="20"/>
                <w:szCs w:val="20"/>
              </w:rPr>
              <w:t>、院士</w:t>
            </w:r>
          </w:p>
        </w:tc>
        <w:tc>
          <w:tcPr>
            <w:tcW w:w="968" w:type="dxa"/>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b/>
                <w:bCs/>
                <w:color w:val="000000"/>
                <w:kern w:val="0"/>
                <w:sz w:val="20"/>
                <w:szCs w:val="20"/>
              </w:rPr>
            </w:pPr>
            <w:r>
              <w:rPr>
                <w:rFonts w:ascii="宋体" w:eastAsia="宋体" w:hAnsi="宋体" w:cs="宋体"/>
                <w:b/>
                <w:bCs/>
                <w:color w:val="000000"/>
                <w:kern w:val="0"/>
                <w:sz w:val="20"/>
                <w:szCs w:val="20"/>
              </w:rPr>
              <w:t>1</w:t>
            </w:r>
            <w:r>
              <w:rPr>
                <w:rFonts w:ascii="宋体" w:eastAsia="宋体" w:hAnsi="宋体" w:cs="宋体"/>
                <w:b/>
                <w:bCs/>
                <w:color w:val="000000"/>
                <w:kern w:val="0"/>
                <w:sz w:val="20"/>
                <w:szCs w:val="20"/>
              </w:rPr>
              <w:t>、厅级干部</w:t>
            </w:r>
          </w:p>
          <w:p w:rsidR="00CD203B" w:rsidRDefault="000B691D">
            <w:pPr>
              <w:widowControl/>
              <w:jc w:val="left"/>
              <w:rPr>
                <w:rFonts w:ascii="宋体" w:eastAsia="宋体" w:hAnsi="宋体" w:cs="宋体"/>
                <w:b/>
                <w:bCs/>
                <w:color w:val="000000"/>
                <w:kern w:val="0"/>
                <w:sz w:val="20"/>
                <w:szCs w:val="20"/>
              </w:rPr>
            </w:pPr>
            <w:r>
              <w:rPr>
                <w:rFonts w:ascii="宋体" w:eastAsia="宋体" w:hAnsi="宋体" w:cs="宋体"/>
                <w:b/>
                <w:bCs/>
                <w:color w:val="000000"/>
                <w:kern w:val="0"/>
                <w:sz w:val="20"/>
                <w:szCs w:val="20"/>
              </w:rPr>
              <w:t>2</w:t>
            </w:r>
            <w:r>
              <w:rPr>
                <w:rFonts w:ascii="宋体" w:eastAsia="宋体" w:hAnsi="宋体" w:cs="宋体"/>
                <w:b/>
                <w:bCs/>
                <w:color w:val="000000"/>
                <w:kern w:val="0"/>
                <w:sz w:val="20"/>
                <w:szCs w:val="20"/>
              </w:rPr>
              <w:t>、正高级专业技术职务人员</w:t>
            </w:r>
          </w:p>
        </w:tc>
        <w:tc>
          <w:tcPr>
            <w:tcW w:w="969" w:type="dxa"/>
            <w:tcBorders>
              <w:top w:val="nil"/>
              <w:left w:val="single" w:sz="4" w:space="0" w:color="auto"/>
              <w:bottom w:val="single" w:sz="4" w:space="0" w:color="000000"/>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其余人员</w:t>
            </w:r>
          </w:p>
        </w:tc>
        <w:tc>
          <w:tcPr>
            <w:tcW w:w="1289" w:type="dxa"/>
            <w:vMerge/>
            <w:tcBorders>
              <w:top w:val="single" w:sz="4" w:space="0" w:color="auto"/>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781"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968" w:type="dxa"/>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b/>
                <w:bCs/>
                <w:color w:val="000000"/>
                <w:kern w:val="0"/>
                <w:sz w:val="20"/>
                <w:szCs w:val="20"/>
              </w:rPr>
              <w:t>1</w:t>
            </w:r>
            <w:r>
              <w:rPr>
                <w:rFonts w:ascii="宋体" w:eastAsia="宋体" w:hAnsi="宋体" w:cs="宋体"/>
                <w:b/>
                <w:bCs/>
                <w:color w:val="000000"/>
                <w:kern w:val="0"/>
                <w:sz w:val="20"/>
                <w:szCs w:val="20"/>
              </w:rPr>
              <w:t>、省部级干部</w:t>
            </w:r>
          </w:p>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b/>
                <w:bCs/>
                <w:color w:val="000000"/>
                <w:kern w:val="0"/>
                <w:sz w:val="20"/>
                <w:szCs w:val="20"/>
              </w:rPr>
              <w:t>2</w:t>
            </w:r>
            <w:r>
              <w:rPr>
                <w:rFonts w:ascii="宋体" w:eastAsia="宋体" w:hAnsi="宋体" w:cs="宋体"/>
                <w:b/>
                <w:bCs/>
                <w:color w:val="000000"/>
                <w:kern w:val="0"/>
                <w:sz w:val="20"/>
                <w:szCs w:val="20"/>
              </w:rPr>
              <w:t>、院士</w:t>
            </w:r>
          </w:p>
        </w:tc>
        <w:tc>
          <w:tcPr>
            <w:tcW w:w="968" w:type="dxa"/>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b/>
                <w:bCs/>
                <w:color w:val="000000"/>
                <w:kern w:val="0"/>
                <w:sz w:val="20"/>
                <w:szCs w:val="20"/>
              </w:rPr>
            </w:pPr>
            <w:r>
              <w:rPr>
                <w:rFonts w:ascii="宋体" w:eastAsia="宋体" w:hAnsi="宋体" w:cs="宋体"/>
                <w:b/>
                <w:bCs/>
                <w:color w:val="000000"/>
                <w:kern w:val="0"/>
                <w:sz w:val="20"/>
                <w:szCs w:val="20"/>
              </w:rPr>
              <w:t>1</w:t>
            </w:r>
            <w:r>
              <w:rPr>
                <w:rFonts w:ascii="宋体" w:eastAsia="宋体" w:hAnsi="宋体" w:cs="宋体"/>
                <w:b/>
                <w:bCs/>
                <w:color w:val="000000"/>
                <w:kern w:val="0"/>
                <w:sz w:val="20"/>
                <w:szCs w:val="20"/>
              </w:rPr>
              <w:t>、厅级干部</w:t>
            </w:r>
          </w:p>
          <w:p w:rsidR="00CD203B" w:rsidRDefault="000B691D">
            <w:pPr>
              <w:widowControl/>
              <w:jc w:val="left"/>
              <w:rPr>
                <w:rFonts w:ascii="宋体" w:eastAsia="宋体" w:hAnsi="宋体" w:cs="宋体"/>
                <w:b/>
                <w:bCs/>
                <w:color w:val="000000"/>
                <w:kern w:val="0"/>
                <w:sz w:val="20"/>
                <w:szCs w:val="20"/>
              </w:rPr>
            </w:pPr>
            <w:r>
              <w:rPr>
                <w:rFonts w:ascii="宋体" w:eastAsia="宋体" w:hAnsi="宋体" w:cs="宋体"/>
                <w:b/>
                <w:bCs/>
                <w:color w:val="000000"/>
                <w:kern w:val="0"/>
                <w:sz w:val="20"/>
                <w:szCs w:val="20"/>
              </w:rPr>
              <w:t>2</w:t>
            </w:r>
            <w:r>
              <w:rPr>
                <w:rFonts w:ascii="宋体" w:eastAsia="宋体" w:hAnsi="宋体" w:cs="宋体"/>
                <w:b/>
                <w:bCs/>
                <w:color w:val="000000"/>
                <w:kern w:val="0"/>
                <w:sz w:val="20"/>
                <w:szCs w:val="20"/>
              </w:rPr>
              <w:t>、正高级专业技术职务人员</w:t>
            </w:r>
          </w:p>
        </w:tc>
        <w:tc>
          <w:tcPr>
            <w:tcW w:w="968" w:type="dxa"/>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其余人员</w:t>
            </w:r>
          </w:p>
        </w:tc>
      </w:tr>
      <w:tr w:rsidR="00CD203B">
        <w:trPr>
          <w:trHeight w:val="510"/>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北京</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103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天津</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个中心城区、滨海新区、东丽区、西青区、津南区、北辰区、武清区、宝坻区、静海区、</w:t>
            </w:r>
            <w:r>
              <w:rPr>
                <w:rFonts w:ascii="宋体" w:eastAsia="宋体" w:hAnsi="宋体" w:cs="宋体" w:hint="eastAsia"/>
                <w:color w:val="000000"/>
                <w:kern w:val="0"/>
                <w:sz w:val="20"/>
                <w:szCs w:val="20"/>
              </w:rPr>
              <w:t>蓟</w:t>
            </w:r>
            <w:r>
              <w:rPr>
                <w:rFonts w:ascii="宋体" w:eastAsia="宋体" w:hAnsi="宋体" w:cs="宋体" w:hint="eastAsia"/>
                <w:color w:val="000000"/>
                <w:kern w:val="0"/>
                <w:sz w:val="20"/>
                <w:szCs w:val="20"/>
              </w:rPr>
              <w:t>县</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9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宁河区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9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r>
              <w:rPr>
                <w:rFonts w:ascii="宋体" w:eastAsia="宋体" w:hAnsi="宋体" w:cs="宋体" w:hint="eastAsia"/>
                <w:b/>
                <w:bCs/>
                <w:color w:val="000000"/>
                <w:kern w:val="0"/>
                <w:sz w:val="20"/>
                <w:szCs w:val="20"/>
              </w:rPr>
              <w:t>河北</w:t>
            </w:r>
          </w:p>
        </w:tc>
        <w:tc>
          <w:tcPr>
            <w:tcW w:w="1792"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石家庄市、张家口市、秦皇岛市、廊坊市、承德市、保定市</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张家口市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kern w:val="0"/>
                <w:sz w:val="20"/>
                <w:szCs w:val="20"/>
              </w:rPr>
              <w:t>-9</w:t>
            </w:r>
            <w:r>
              <w:rPr>
                <w:rFonts w:ascii="宋体" w:eastAsia="宋体" w:hAnsi="宋体" w:cs="宋体" w:hint="eastAsia"/>
                <w:kern w:val="0"/>
                <w:sz w:val="20"/>
                <w:szCs w:val="20"/>
              </w:rPr>
              <w:t>月、</w:t>
            </w:r>
            <w:r>
              <w:rPr>
                <w:rFonts w:ascii="宋体" w:eastAsia="宋体" w:hAnsi="宋体" w:cs="宋体" w:hint="eastAsia"/>
                <w:kern w:val="0"/>
                <w:sz w:val="20"/>
                <w:szCs w:val="20"/>
              </w:rPr>
              <w:t>11-3</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675</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525</w:t>
            </w:r>
          </w:p>
        </w:tc>
      </w:tr>
      <w:tr w:rsidR="00CD203B">
        <w:trPr>
          <w:trHeight w:val="45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9"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秦皇岛市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kern w:val="0"/>
                <w:sz w:val="20"/>
                <w:szCs w:val="20"/>
              </w:rPr>
              <w:t>-8</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r>
      <w:tr w:rsidR="00CD203B">
        <w:trPr>
          <w:trHeight w:val="55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9"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承德市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w:t>
            </w:r>
            <w:r>
              <w:rPr>
                <w:rFonts w:ascii="宋体" w:eastAsia="宋体" w:hAnsi="宋体" w:cs="宋体" w:hint="eastAsia"/>
                <w:color w:val="000000"/>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580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580</w:t>
            </w:r>
          </w:p>
        </w:tc>
      </w:tr>
      <w:tr w:rsidR="00CD203B">
        <w:trPr>
          <w:trHeight w:val="46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山西</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太原市、大同市、晋城市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8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临汾市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8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阳泉市、长治市、晋中市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8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240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5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内蒙古</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呼和浩特市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97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460</w:t>
            </w:r>
          </w:p>
        </w:tc>
        <w:tc>
          <w:tcPr>
            <w:tcW w:w="969"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海拉尔市、满洲里市、阿尔山市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kern w:val="0"/>
                <w:sz w:val="20"/>
                <w:szCs w:val="20"/>
              </w:rPr>
              <w:t>-9</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690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r>
      <w:tr w:rsidR="00CD203B">
        <w:trPr>
          <w:trHeight w:val="51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9"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二连浩特市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w:t>
            </w:r>
            <w:r>
              <w:rPr>
                <w:rFonts w:ascii="宋体" w:eastAsia="宋体" w:hAnsi="宋体" w:cs="宋体" w:hint="eastAsia"/>
                <w:color w:val="000000"/>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580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r>
      <w:tr w:rsidR="00CD203B">
        <w:trPr>
          <w:trHeight w:val="51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9"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额济纳旗</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r>
              <w:rPr>
                <w:rFonts w:ascii="宋体" w:eastAsia="宋体" w:hAnsi="宋体" w:cs="宋体" w:hint="eastAsia"/>
                <w:kern w:val="0"/>
                <w:sz w:val="20"/>
                <w:szCs w:val="20"/>
              </w:rPr>
              <w:t>-10</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690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r>
      <w:tr w:rsidR="00CD203B">
        <w:trPr>
          <w:trHeight w:val="55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辽宁</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沈阳市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5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大连</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w:t>
            </w:r>
            <w:r>
              <w:rPr>
                <w:rFonts w:ascii="宋体" w:eastAsia="宋体" w:hAnsi="宋体" w:cs="宋体" w:hint="eastAsia"/>
                <w:color w:val="000000"/>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420</w:t>
            </w:r>
          </w:p>
        </w:tc>
      </w:tr>
      <w:tr w:rsidR="00CD203B">
        <w:trPr>
          <w:trHeight w:val="82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吉林</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长春市、吉林市、延边州、长白山管理区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吉林市、延边州、长白山管理区</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kern w:val="0"/>
                <w:sz w:val="20"/>
                <w:szCs w:val="20"/>
              </w:rPr>
              <w:t>-9</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420</w:t>
            </w:r>
          </w:p>
        </w:tc>
      </w:tr>
      <w:tr w:rsidR="00CD203B">
        <w:trPr>
          <w:trHeight w:val="45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6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黑龙江</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哈尔滨市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哈尔滨市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w:t>
            </w:r>
            <w:r>
              <w:rPr>
                <w:rFonts w:ascii="宋体" w:eastAsia="宋体" w:hAnsi="宋体" w:cs="宋体" w:hint="eastAsia"/>
                <w:color w:val="000000"/>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420</w:t>
            </w:r>
          </w:p>
        </w:tc>
      </w:tr>
      <w:tr w:rsidR="00CD203B">
        <w:trPr>
          <w:trHeight w:val="102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牡丹江市、伊春市、大兴安岭地区、黑河市、佳木斯市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kern w:val="0"/>
                <w:sz w:val="20"/>
                <w:szCs w:val="20"/>
              </w:rPr>
              <w:t>-8</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540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360</w:t>
            </w:r>
          </w:p>
        </w:tc>
      </w:tr>
      <w:tr w:rsidR="00CD203B">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上海</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1100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78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江苏</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南京市、苏州市、无锡市、常州市、</w:t>
            </w:r>
            <w:r>
              <w:rPr>
                <w:rFonts w:ascii="宋体" w:eastAsia="宋体" w:hAnsi="宋体" w:cs="宋体" w:hint="eastAsia"/>
                <w:kern w:val="0"/>
                <w:sz w:val="20"/>
                <w:szCs w:val="20"/>
              </w:rPr>
              <w:t>镇江市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浙江</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杭州市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宁波</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14</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安徽</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全省</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福建</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福州市、泉州市、平潭综合实验区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厦门</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525"/>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江西</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全省</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106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山东</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济南市、淄博市、枣庄市、东营市、烟台市、潍坊市、济宁市、泰安市、威海市、日照市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烟台市、威海市、日照市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r>
              <w:rPr>
                <w:rFonts w:ascii="宋体" w:eastAsia="宋体" w:hAnsi="宋体" w:cs="宋体" w:hint="eastAsia"/>
                <w:kern w:val="0"/>
                <w:sz w:val="20"/>
                <w:szCs w:val="20"/>
              </w:rPr>
              <w:t>-9</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570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r>
      <w:tr w:rsidR="00CD203B">
        <w:trPr>
          <w:trHeight w:val="43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360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35"/>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青岛</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490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w:t>
            </w:r>
            <w:r>
              <w:rPr>
                <w:rFonts w:ascii="宋体" w:eastAsia="宋体" w:hAnsi="宋体" w:cs="宋体" w:hint="eastAsia"/>
                <w:color w:val="000000"/>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960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590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r>
      <w:tr w:rsidR="00CD203B">
        <w:trPr>
          <w:trHeight w:val="60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河南</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郑州市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7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洛阳市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r>
              <w:rPr>
                <w:rFonts w:ascii="宋体" w:eastAsia="宋体" w:hAnsi="宋体" w:cs="宋体" w:hint="eastAsia"/>
                <w:kern w:val="0"/>
                <w:sz w:val="20"/>
                <w:szCs w:val="20"/>
              </w:rPr>
              <w:t>-5</w:t>
            </w:r>
            <w:r>
              <w:rPr>
                <w:rFonts w:ascii="宋体" w:eastAsia="宋体" w:hAnsi="宋体" w:cs="宋体" w:hint="eastAsia"/>
                <w:kern w:val="0"/>
                <w:sz w:val="20"/>
                <w:szCs w:val="20"/>
              </w:rPr>
              <w:t>月上旬</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720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r>
      <w:tr w:rsidR="00CD203B">
        <w:trPr>
          <w:trHeight w:val="43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湖北</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武汉市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3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3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湖南</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长沙市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3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70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广东</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广州市、珠海市、佛山市、东莞市、中山市、江门市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3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420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35"/>
        </w:trPr>
        <w:tc>
          <w:tcPr>
            <w:tcW w:w="567" w:type="dxa"/>
            <w:tcBorders>
              <w:top w:val="nil"/>
              <w:left w:val="single" w:sz="4" w:space="0" w:color="auto"/>
              <w:bottom w:val="single" w:sz="4" w:space="0" w:color="auto"/>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677"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深圳</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25</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广西</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南宁市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72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桂林市、北海市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r>
              <w:rPr>
                <w:rFonts w:ascii="宋体" w:eastAsia="宋体" w:hAnsi="宋体" w:cs="宋体" w:hint="eastAsia"/>
                <w:color w:val="000000"/>
                <w:kern w:val="0"/>
                <w:sz w:val="20"/>
                <w:szCs w:val="20"/>
              </w:rPr>
              <w:t>月、</w:t>
            </w:r>
            <w:r>
              <w:rPr>
                <w:rFonts w:ascii="宋体" w:eastAsia="宋体" w:hAnsi="宋体" w:cs="宋体" w:hint="eastAsia"/>
                <w:color w:val="000000"/>
                <w:kern w:val="0"/>
                <w:sz w:val="20"/>
                <w:szCs w:val="20"/>
              </w:rPr>
              <w:t>7-9</w:t>
            </w:r>
            <w:r>
              <w:rPr>
                <w:rFonts w:ascii="宋体" w:eastAsia="宋体" w:hAnsi="宋体" w:cs="宋体" w:hint="eastAsia"/>
                <w:color w:val="000000"/>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1040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610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r>
      <w:tr w:rsidR="00CD203B">
        <w:trPr>
          <w:trHeight w:val="3529"/>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26</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海南</w:t>
            </w:r>
          </w:p>
        </w:tc>
        <w:tc>
          <w:tcPr>
            <w:tcW w:w="1792"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海口市、三沙市、儋州市、五指山市、文昌市、琼海市、万宁市、东方市、定安县、屯昌县、澄迈县、临高县、白沙县、昌江县、乐东县、陵水县、保亭县、琼中县、洋浦开发区</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969"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海口市、文昌市、澄迈县</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kern w:val="0"/>
                <w:sz w:val="20"/>
                <w:szCs w:val="20"/>
              </w:rPr>
              <w:t>1-2</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1040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r>
      <w:tr w:rsidR="00CD203B">
        <w:trPr>
          <w:trHeight w:val="76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8"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969"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color w:val="000000"/>
                <w:kern w:val="0"/>
                <w:sz w:val="20"/>
                <w:szCs w:val="20"/>
              </w:rPr>
            </w:pP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琼海市、万宁市、陵水县、保亭县</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kern w:val="0"/>
                <w:sz w:val="20"/>
                <w:szCs w:val="20"/>
              </w:rPr>
              <w:t>1-3</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1040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r>
      <w:tr w:rsidR="00CD203B">
        <w:trPr>
          <w:trHeight w:val="43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三亚市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1000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三亚市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hint="eastAsia"/>
                <w:kern w:val="0"/>
                <w:sz w:val="20"/>
                <w:szCs w:val="20"/>
              </w:rPr>
              <w:t>0-4</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720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r>
      <w:tr w:rsidR="00CD203B">
        <w:trPr>
          <w:trHeight w:val="45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重庆</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kern w:val="0"/>
                <w:sz w:val="20"/>
                <w:szCs w:val="20"/>
              </w:rPr>
              <w:t>9</w:t>
            </w:r>
            <w:r>
              <w:rPr>
                <w:rFonts w:ascii="宋体" w:eastAsia="宋体" w:hAnsi="宋体" w:cs="宋体" w:hint="eastAsia"/>
                <w:kern w:val="0"/>
                <w:sz w:val="20"/>
                <w:szCs w:val="20"/>
              </w:rPr>
              <w:t>个中心城区、北部新区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3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770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0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四川</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成都市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0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阿坝州、甘孜州</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0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绵阳市、乐山市、雅安市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0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宜宾市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0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凉山州</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0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德阳市、遂宁市、巴中市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60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5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贵州</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贵阳市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5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70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云南</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昆明市、大理州、丽江市、迪庆州、西双版纳州</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380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5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0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31</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西藏</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拉萨市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拉萨市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6-9</w:t>
            </w:r>
            <w:r>
              <w:rPr>
                <w:rFonts w:ascii="宋体" w:eastAsia="宋体" w:hAnsi="宋体" w:cs="宋体" w:hint="eastAsia"/>
                <w:color w:val="000000"/>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530</w:t>
            </w:r>
          </w:p>
        </w:tc>
      </w:tr>
      <w:tr w:rsidR="00CD203B">
        <w:trPr>
          <w:trHeight w:val="40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其他地区</w:t>
            </w: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r>
              <w:rPr>
                <w:rFonts w:ascii="宋体" w:eastAsia="宋体" w:hAnsi="宋体" w:cs="宋体" w:hint="eastAsia"/>
                <w:kern w:val="0"/>
                <w:sz w:val="20"/>
                <w:szCs w:val="20"/>
              </w:rPr>
              <w:t>-9</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r>
      <w:tr w:rsidR="00CD203B">
        <w:trPr>
          <w:trHeight w:val="36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陕西</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西安市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460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36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榆林市、延安市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36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杨凌区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680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36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咸阳市、宝鸡市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36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渭南市、韩城市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260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36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36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甘肃</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兰州市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36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310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0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青海</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西宁市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西宁市</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6-9</w:t>
            </w:r>
            <w:r>
              <w:rPr>
                <w:rFonts w:ascii="宋体" w:eastAsia="宋体" w:hAnsi="宋体" w:cs="宋体" w:hint="eastAsia"/>
                <w:color w:val="000000"/>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1200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530</w:t>
            </w:r>
          </w:p>
        </w:tc>
      </w:tr>
      <w:tr w:rsidR="00CD203B">
        <w:trPr>
          <w:trHeight w:val="40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玉树州、果洛州</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玉树州</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-9</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525</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r>
      <w:tr w:rsidR="00CD203B">
        <w:trPr>
          <w:trHeight w:val="40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海北州、黄南州</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海北州、黄南州</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-9</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525</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375</w:t>
            </w:r>
          </w:p>
        </w:tc>
      </w:tr>
      <w:tr w:rsidR="00CD203B">
        <w:trPr>
          <w:trHeight w:val="40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海东市、海南州</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海东市、海南州</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-9</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375</w:t>
            </w:r>
          </w:p>
        </w:tc>
      </w:tr>
      <w:tr w:rsidR="00CD203B">
        <w:trPr>
          <w:trHeight w:val="40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海西州</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海西州</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r>
              <w:rPr>
                <w:rFonts w:ascii="宋体" w:eastAsia="宋体" w:hAnsi="宋体" w:cs="宋体" w:hint="eastAsia"/>
                <w:kern w:val="0"/>
                <w:sz w:val="20"/>
                <w:szCs w:val="20"/>
              </w:rPr>
              <w:t>-9</w:t>
            </w:r>
            <w:r>
              <w:rPr>
                <w:rFonts w:ascii="宋体" w:eastAsia="宋体" w:hAnsi="宋体" w:cs="宋体" w:hint="eastAsia"/>
                <w:kern w:val="0"/>
                <w:sz w:val="20"/>
                <w:szCs w:val="20"/>
              </w:rPr>
              <w:t>月</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r>
      <w:tr w:rsidR="00CD203B">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宁夏</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银川市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470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8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430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330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05"/>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CD203B" w:rsidRDefault="000B691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677" w:type="dxa"/>
            <w:vMerge w:val="restart"/>
            <w:tcBorders>
              <w:top w:val="nil"/>
              <w:left w:val="single" w:sz="4" w:space="0" w:color="auto"/>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新疆</w:t>
            </w: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乌鲁木齐市</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350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1035"/>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石河子市、克拉玛依市、昌吉州、伊犁州、阿勒泰地区、博州、吐鲁番市、哈密地区、巴州、和田地区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340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r>
      <w:tr w:rsidR="00CD203B">
        <w:trPr>
          <w:trHeight w:val="42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克州</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800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320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rPr>
                <w:rFonts w:ascii="Courier New" w:eastAsia="宋体" w:hAnsi="Courier New" w:cs="Courier New"/>
                <w:color w:val="000000"/>
                <w:kern w:val="0"/>
                <w:sz w:val="16"/>
                <w:szCs w:val="16"/>
              </w:rPr>
            </w:pPr>
            <w:r>
              <w:rPr>
                <w:rFonts w:ascii="Courier New" w:eastAsia="宋体" w:hAnsi="Courier New" w:cs="Courier New"/>
                <w:color w:val="000000"/>
                <w:kern w:val="0"/>
                <w:sz w:val="16"/>
                <w:szCs w:val="16"/>
              </w:rPr>
              <w:t xml:space="preserve">　</w:t>
            </w:r>
          </w:p>
        </w:tc>
      </w:tr>
      <w:tr w:rsidR="00CD203B">
        <w:trPr>
          <w:trHeight w:val="42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喀什地区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780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480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2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阿克苏地区</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450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CD203B">
        <w:trPr>
          <w:trHeight w:val="420"/>
        </w:trPr>
        <w:tc>
          <w:tcPr>
            <w:tcW w:w="567" w:type="dxa"/>
            <w:vMerge/>
            <w:tcBorders>
              <w:top w:val="nil"/>
              <w:left w:val="single" w:sz="4" w:space="0" w:color="auto"/>
              <w:bottom w:val="single" w:sz="4" w:space="0" w:color="000000"/>
              <w:right w:val="single" w:sz="4" w:space="0" w:color="auto"/>
            </w:tcBorders>
            <w:vAlign w:val="center"/>
          </w:tcPr>
          <w:p w:rsidR="00CD203B" w:rsidRDefault="00CD203B">
            <w:pPr>
              <w:widowControl/>
              <w:jc w:val="left"/>
              <w:rPr>
                <w:rFonts w:ascii="宋体" w:eastAsia="宋体" w:hAnsi="宋体" w:cs="宋体"/>
                <w:color w:val="000000"/>
                <w:kern w:val="0"/>
                <w:sz w:val="22"/>
              </w:rPr>
            </w:pPr>
          </w:p>
        </w:tc>
        <w:tc>
          <w:tcPr>
            <w:tcW w:w="677" w:type="dxa"/>
            <w:vMerge/>
            <w:tcBorders>
              <w:top w:val="nil"/>
              <w:left w:val="single" w:sz="4" w:space="0" w:color="auto"/>
              <w:bottom w:val="single" w:sz="4" w:space="0" w:color="auto"/>
              <w:right w:val="single" w:sz="4" w:space="0" w:color="auto"/>
            </w:tcBorders>
            <w:vAlign w:val="center"/>
          </w:tcPr>
          <w:p w:rsidR="00CD203B" w:rsidRDefault="00CD203B">
            <w:pPr>
              <w:widowControl/>
              <w:jc w:val="left"/>
              <w:rPr>
                <w:rFonts w:ascii="宋体" w:eastAsia="宋体" w:hAnsi="宋体" w:cs="宋体"/>
                <w:b/>
                <w:bCs/>
                <w:color w:val="000000"/>
                <w:kern w:val="0"/>
                <w:sz w:val="20"/>
                <w:szCs w:val="20"/>
              </w:rPr>
            </w:pPr>
          </w:p>
        </w:tc>
        <w:tc>
          <w:tcPr>
            <w:tcW w:w="1792"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塔城地区</w:t>
            </w: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700</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400</w:t>
            </w:r>
          </w:p>
        </w:tc>
        <w:tc>
          <w:tcPr>
            <w:tcW w:w="96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300</w:t>
            </w:r>
          </w:p>
        </w:tc>
        <w:tc>
          <w:tcPr>
            <w:tcW w:w="1289"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81"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68" w:type="dxa"/>
            <w:tcBorders>
              <w:top w:val="nil"/>
              <w:left w:val="nil"/>
              <w:bottom w:val="single" w:sz="4" w:space="0" w:color="auto"/>
              <w:right w:val="single" w:sz="4" w:space="0" w:color="auto"/>
            </w:tcBorders>
            <w:shd w:val="clear" w:color="000000" w:fill="FFFFFF"/>
            <w:vAlign w:val="center"/>
          </w:tcPr>
          <w:p w:rsidR="00CD203B" w:rsidRDefault="000B691D">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bl>
    <w:p w:rsidR="00CD203B" w:rsidRDefault="00CD203B">
      <w:pPr>
        <w:widowControl/>
        <w:adjustRightInd w:val="0"/>
        <w:snapToGrid w:val="0"/>
        <w:spacing w:line="360" w:lineRule="auto"/>
        <w:jc w:val="left"/>
        <w:rPr>
          <w:rFonts w:ascii="宋体" w:eastAsia="宋体" w:hAnsi="宋体"/>
          <w:sz w:val="30"/>
          <w:szCs w:val="30"/>
        </w:rPr>
      </w:pPr>
    </w:p>
    <w:sectPr w:rsidR="00CD203B">
      <w:pgSz w:w="11906" w:h="16838"/>
      <w:pgMar w:top="2041"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1D" w:rsidRDefault="000B691D" w:rsidP="00C63B03">
      <w:r>
        <w:separator/>
      </w:r>
    </w:p>
  </w:endnote>
  <w:endnote w:type="continuationSeparator" w:id="0">
    <w:p w:rsidR="000B691D" w:rsidRDefault="000B691D" w:rsidP="00C6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1D" w:rsidRDefault="000B691D" w:rsidP="00C63B03">
      <w:r>
        <w:separator/>
      </w:r>
    </w:p>
  </w:footnote>
  <w:footnote w:type="continuationSeparator" w:id="0">
    <w:p w:rsidR="000B691D" w:rsidRDefault="000B691D" w:rsidP="00C63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003B4882"/>
    <w:rsid w:val="E25FAB01"/>
    <w:rsid w:val="E4FCAC7A"/>
    <w:rsid w:val="00022318"/>
    <w:rsid w:val="00027736"/>
    <w:rsid w:val="00036D79"/>
    <w:rsid w:val="000A7F05"/>
    <w:rsid w:val="000B05AF"/>
    <w:rsid w:val="000B691D"/>
    <w:rsid w:val="000D2853"/>
    <w:rsid w:val="000D74B6"/>
    <w:rsid w:val="000F08FB"/>
    <w:rsid w:val="000F5316"/>
    <w:rsid w:val="00164272"/>
    <w:rsid w:val="00167682"/>
    <w:rsid w:val="001A3F4B"/>
    <w:rsid w:val="001D7291"/>
    <w:rsid w:val="0021320F"/>
    <w:rsid w:val="002429A0"/>
    <w:rsid w:val="00270967"/>
    <w:rsid w:val="002A38AC"/>
    <w:rsid w:val="002C712A"/>
    <w:rsid w:val="002F5C9E"/>
    <w:rsid w:val="00375E53"/>
    <w:rsid w:val="003930BD"/>
    <w:rsid w:val="003B4882"/>
    <w:rsid w:val="003D1523"/>
    <w:rsid w:val="00410497"/>
    <w:rsid w:val="00436A35"/>
    <w:rsid w:val="00436ABF"/>
    <w:rsid w:val="0044631B"/>
    <w:rsid w:val="004737B2"/>
    <w:rsid w:val="0048487E"/>
    <w:rsid w:val="00486777"/>
    <w:rsid w:val="004E6493"/>
    <w:rsid w:val="0052222E"/>
    <w:rsid w:val="005357C1"/>
    <w:rsid w:val="00547B63"/>
    <w:rsid w:val="00592094"/>
    <w:rsid w:val="005D5B30"/>
    <w:rsid w:val="00637F6A"/>
    <w:rsid w:val="00680DFF"/>
    <w:rsid w:val="007461C2"/>
    <w:rsid w:val="00751B63"/>
    <w:rsid w:val="007568F8"/>
    <w:rsid w:val="00782022"/>
    <w:rsid w:val="00784CF2"/>
    <w:rsid w:val="00877617"/>
    <w:rsid w:val="008C71FE"/>
    <w:rsid w:val="00931220"/>
    <w:rsid w:val="00A05A35"/>
    <w:rsid w:val="00AE2693"/>
    <w:rsid w:val="00B85F49"/>
    <w:rsid w:val="00BC5516"/>
    <w:rsid w:val="00BF5F7D"/>
    <w:rsid w:val="00C06726"/>
    <w:rsid w:val="00C11812"/>
    <w:rsid w:val="00C27CDB"/>
    <w:rsid w:val="00C63B03"/>
    <w:rsid w:val="00CD203B"/>
    <w:rsid w:val="00CE4818"/>
    <w:rsid w:val="00D26086"/>
    <w:rsid w:val="00D437F0"/>
    <w:rsid w:val="00D82B6F"/>
    <w:rsid w:val="00DC5A2A"/>
    <w:rsid w:val="00E46766"/>
    <w:rsid w:val="00EE65FD"/>
    <w:rsid w:val="369873A5"/>
    <w:rsid w:val="4B9A1D63"/>
    <w:rsid w:val="7E3FE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8F734-2CB5-454B-9512-F513C639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kern w:val="2"/>
      <w:sz w:val="18"/>
      <w:szCs w:val="18"/>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paragraph" w:styleId="ae">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15</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dc:creator>
  <cp:lastModifiedBy>WZ</cp:lastModifiedBy>
  <cp:revision>32</cp:revision>
  <cp:lastPrinted>2023-04-26T01:22:00Z</cp:lastPrinted>
  <dcterms:created xsi:type="dcterms:W3CDTF">2023-04-13T14:14:00Z</dcterms:created>
  <dcterms:modified xsi:type="dcterms:W3CDTF">2023-05-05T02:28:00Z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A644B9092637F80D014B3A644380CBF7</vt:lpwstr>
  </property>
</Properties>
</file>